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42" w:rsidRPr="00886393" w:rsidRDefault="00886393" w:rsidP="0082673C">
      <w:pPr>
        <w:pStyle w:val="Brezrazmikov"/>
        <w:jc w:val="both"/>
        <w:rPr>
          <w:rFonts w:ascii="Times New Roman" w:hAnsi="Times New Roman" w:cs="Times New Roman"/>
          <w:b/>
          <w:sz w:val="24"/>
          <w:szCs w:val="24"/>
        </w:rPr>
      </w:pPr>
      <w:r w:rsidRPr="00886393">
        <w:rPr>
          <w:rFonts w:ascii="Times New Roman" w:hAnsi="Times New Roman" w:cs="Times New Roman"/>
          <w:b/>
          <w:sz w:val="24"/>
          <w:szCs w:val="24"/>
        </w:rPr>
        <w:t>EKONOMSKA ŠOLA MURSKA SOBOTA</w:t>
      </w:r>
    </w:p>
    <w:p w:rsidR="00886393" w:rsidRPr="00886393" w:rsidRDefault="00886393" w:rsidP="0082673C">
      <w:pPr>
        <w:pStyle w:val="Brezrazmikov"/>
        <w:jc w:val="both"/>
        <w:rPr>
          <w:rFonts w:ascii="Times New Roman" w:hAnsi="Times New Roman" w:cs="Times New Roman"/>
          <w:b/>
          <w:sz w:val="24"/>
          <w:szCs w:val="24"/>
        </w:rPr>
      </w:pPr>
      <w:r w:rsidRPr="00886393">
        <w:rPr>
          <w:rFonts w:ascii="Times New Roman" w:hAnsi="Times New Roman" w:cs="Times New Roman"/>
          <w:b/>
          <w:sz w:val="24"/>
          <w:szCs w:val="24"/>
        </w:rPr>
        <w:t>VIŠJA STROKOVNA ŠOLA</w:t>
      </w:r>
    </w:p>
    <w:p w:rsidR="00886393" w:rsidRPr="00886393" w:rsidRDefault="00886393" w:rsidP="0082673C">
      <w:pPr>
        <w:pStyle w:val="Brezrazmikov"/>
        <w:jc w:val="both"/>
        <w:rPr>
          <w:rFonts w:ascii="Times New Roman" w:hAnsi="Times New Roman" w:cs="Times New Roman"/>
          <w:sz w:val="24"/>
          <w:szCs w:val="24"/>
        </w:rPr>
      </w:pPr>
      <w:r w:rsidRPr="00886393">
        <w:rPr>
          <w:rFonts w:ascii="Times New Roman" w:hAnsi="Times New Roman" w:cs="Times New Roman"/>
          <w:sz w:val="24"/>
          <w:szCs w:val="24"/>
        </w:rPr>
        <w:t>Noršinska ulica 13</w:t>
      </w:r>
    </w:p>
    <w:p w:rsidR="00886393" w:rsidRPr="00886393" w:rsidRDefault="00886393" w:rsidP="0082673C">
      <w:pPr>
        <w:pStyle w:val="Brezrazmikov"/>
        <w:jc w:val="both"/>
        <w:rPr>
          <w:rFonts w:ascii="Times New Roman" w:hAnsi="Times New Roman" w:cs="Times New Roman"/>
          <w:sz w:val="24"/>
          <w:szCs w:val="24"/>
        </w:rPr>
      </w:pPr>
      <w:r w:rsidRPr="00886393">
        <w:rPr>
          <w:rFonts w:ascii="Times New Roman" w:hAnsi="Times New Roman" w:cs="Times New Roman"/>
          <w:sz w:val="24"/>
          <w:szCs w:val="24"/>
        </w:rPr>
        <w:t>9000 Murska Sobota</w:t>
      </w:r>
    </w:p>
    <w:p w:rsidR="009F23F4" w:rsidRDefault="009F23F4" w:rsidP="0082673C">
      <w:pPr>
        <w:jc w:val="both"/>
        <w:rPr>
          <w:rFonts w:ascii="Times New Roman" w:hAnsi="Times New Roman" w:cs="Times New Roman"/>
          <w:sz w:val="24"/>
          <w:szCs w:val="24"/>
        </w:rPr>
      </w:pPr>
    </w:p>
    <w:p w:rsidR="009F23F4" w:rsidRPr="00266901" w:rsidRDefault="009F23F4" w:rsidP="0082673C">
      <w:pPr>
        <w:jc w:val="center"/>
        <w:rPr>
          <w:rFonts w:ascii="Times New Roman" w:hAnsi="Times New Roman" w:cs="Times New Roman"/>
          <w:b/>
          <w:sz w:val="24"/>
          <w:szCs w:val="24"/>
        </w:rPr>
      </w:pPr>
      <w:r w:rsidRPr="00886393">
        <w:rPr>
          <w:rFonts w:ascii="Times New Roman" w:hAnsi="Times New Roman" w:cs="Times New Roman"/>
          <w:b/>
          <w:sz w:val="28"/>
          <w:szCs w:val="28"/>
        </w:rPr>
        <w:t>ZAPIS</w:t>
      </w:r>
      <w:r w:rsidR="00754D48">
        <w:rPr>
          <w:rFonts w:ascii="Times New Roman" w:hAnsi="Times New Roman" w:cs="Times New Roman"/>
          <w:b/>
          <w:sz w:val="28"/>
          <w:szCs w:val="28"/>
        </w:rPr>
        <w:t>NIK</w:t>
      </w:r>
    </w:p>
    <w:p w:rsidR="00266901" w:rsidRDefault="00266901" w:rsidP="0082673C">
      <w:pPr>
        <w:jc w:val="both"/>
        <w:rPr>
          <w:rFonts w:ascii="Times New Roman" w:hAnsi="Times New Roman" w:cs="Times New Roman"/>
          <w:sz w:val="24"/>
          <w:szCs w:val="24"/>
        </w:rPr>
      </w:pPr>
    </w:p>
    <w:p w:rsidR="00266901" w:rsidRPr="00754D48" w:rsidRDefault="00754D48" w:rsidP="0082673C">
      <w:pPr>
        <w:pStyle w:val="Brezrazmikov"/>
        <w:jc w:val="both"/>
        <w:rPr>
          <w:rFonts w:ascii="Times New Roman" w:hAnsi="Times New Roman" w:cs="Times New Roman"/>
          <w:sz w:val="24"/>
          <w:szCs w:val="24"/>
        </w:rPr>
      </w:pPr>
      <w:r w:rsidRPr="00754D48">
        <w:rPr>
          <w:rFonts w:ascii="Times New Roman" w:hAnsi="Times New Roman" w:cs="Times New Roman"/>
          <w:sz w:val="24"/>
          <w:szCs w:val="24"/>
        </w:rPr>
        <w:t>o poteku strokovnega aktiva predavateljev v</w:t>
      </w:r>
      <w:r>
        <w:rPr>
          <w:rFonts w:ascii="Times New Roman" w:hAnsi="Times New Roman" w:cs="Times New Roman"/>
          <w:sz w:val="24"/>
          <w:szCs w:val="24"/>
        </w:rPr>
        <w:t>išjih strokovnih šol</w:t>
      </w:r>
      <w:r w:rsidRPr="00754D48">
        <w:rPr>
          <w:rFonts w:ascii="Times New Roman" w:hAnsi="Times New Roman" w:cs="Times New Roman"/>
          <w:sz w:val="24"/>
          <w:szCs w:val="24"/>
        </w:rPr>
        <w:t xml:space="preserve"> v študijskem programu </w:t>
      </w:r>
      <w:r>
        <w:rPr>
          <w:rFonts w:ascii="Times New Roman" w:hAnsi="Times New Roman" w:cs="Times New Roman"/>
          <w:sz w:val="24"/>
          <w:szCs w:val="24"/>
        </w:rPr>
        <w:t xml:space="preserve">Ekonomist </w:t>
      </w:r>
      <w:r w:rsidRPr="00754D48">
        <w:rPr>
          <w:rFonts w:ascii="Times New Roman" w:hAnsi="Times New Roman" w:cs="Times New Roman"/>
          <w:sz w:val="24"/>
          <w:szCs w:val="24"/>
        </w:rPr>
        <w:t>za</w:t>
      </w:r>
      <w:r>
        <w:rPr>
          <w:rFonts w:ascii="Times New Roman" w:hAnsi="Times New Roman" w:cs="Times New Roman"/>
          <w:sz w:val="24"/>
          <w:szCs w:val="24"/>
        </w:rPr>
        <w:t xml:space="preserve"> predmetna področja</w:t>
      </w:r>
      <w:r w:rsidRPr="00754D48">
        <w:rPr>
          <w:rFonts w:ascii="Times New Roman" w:hAnsi="Times New Roman" w:cs="Times New Roman"/>
          <w:sz w:val="24"/>
          <w:szCs w:val="24"/>
        </w:rPr>
        <w:t>: prodaj</w:t>
      </w:r>
      <w:r>
        <w:rPr>
          <w:rFonts w:ascii="Times New Roman" w:hAnsi="Times New Roman" w:cs="Times New Roman"/>
          <w:sz w:val="24"/>
          <w:szCs w:val="24"/>
        </w:rPr>
        <w:t>a</w:t>
      </w:r>
      <w:r w:rsidR="005B2B55">
        <w:rPr>
          <w:rFonts w:ascii="Times New Roman" w:hAnsi="Times New Roman" w:cs="Times New Roman"/>
          <w:sz w:val="24"/>
          <w:szCs w:val="24"/>
        </w:rPr>
        <w:t xml:space="preserve">, </w:t>
      </w:r>
      <w:r w:rsidRPr="00754D48">
        <w:rPr>
          <w:rFonts w:ascii="Times New Roman" w:hAnsi="Times New Roman" w:cs="Times New Roman"/>
          <w:sz w:val="24"/>
          <w:szCs w:val="24"/>
        </w:rPr>
        <w:t>trženje in podjetništvo</w:t>
      </w:r>
      <w:r>
        <w:rPr>
          <w:rFonts w:ascii="Times New Roman" w:hAnsi="Times New Roman" w:cs="Times New Roman"/>
          <w:sz w:val="24"/>
          <w:szCs w:val="24"/>
        </w:rPr>
        <w:t xml:space="preserve">, </w:t>
      </w:r>
      <w:r w:rsidR="00266901" w:rsidRPr="00754D48">
        <w:rPr>
          <w:rFonts w:ascii="Times New Roman" w:hAnsi="Times New Roman" w:cs="Times New Roman"/>
          <w:sz w:val="24"/>
          <w:szCs w:val="24"/>
        </w:rPr>
        <w:t xml:space="preserve">ki je bil v </w:t>
      </w:r>
      <w:r>
        <w:rPr>
          <w:rFonts w:ascii="Times New Roman" w:hAnsi="Times New Roman" w:cs="Times New Roman"/>
          <w:sz w:val="24"/>
          <w:szCs w:val="24"/>
        </w:rPr>
        <w:t>četrtek, 15. marca 2018</w:t>
      </w:r>
      <w:r w:rsidR="00266901" w:rsidRPr="00754D48">
        <w:rPr>
          <w:rFonts w:ascii="Times New Roman" w:hAnsi="Times New Roman" w:cs="Times New Roman"/>
          <w:sz w:val="24"/>
          <w:szCs w:val="24"/>
        </w:rPr>
        <w:t xml:space="preserve"> od </w:t>
      </w:r>
      <w:r w:rsidR="005B2B55">
        <w:rPr>
          <w:rFonts w:ascii="Times New Roman" w:hAnsi="Times New Roman" w:cs="Times New Roman"/>
          <w:sz w:val="24"/>
          <w:szCs w:val="24"/>
        </w:rPr>
        <w:t>10.00 do 12.0</w:t>
      </w:r>
      <w:r w:rsidR="00266901" w:rsidRPr="00754D48">
        <w:rPr>
          <w:rFonts w:ascii="Times New Roman" w:hAnsi="Times New Roman" w:cs="Times New Roman"/>
          <w:sz w:val="24"/>
          <w:szCs w:val="24"/>
        </w:rPr>
        <w:t>0 v prostorih EŠ MS, Višje strokovne šole.</w:t>
      </w:r>
      <w:r>
        <w:rPr>
          <w:rFonts w:ascii="Times New Roman" w:hAnsi="Times New Roman" w:cs="Times New Roman"/>
          <w:sz w:val="24"/>
          <w:szCs w:val="24"/>
        </w:rPr>
        <w:t xml:space="preserve"> Strokovni aktiv je vodila </w:t>
      </w:r>
      <w:proofErr w:type="spellStart"/>
      <w:r>
        <w:rPr>
          <w:rFonts w:ascii="Times New Roman" w:hAnsi="Times New Roman" w:cs="Times New Roman"/>
          <w:sz w:val="24"/>
          <w:szCs w:val="24"/>
        </w:rPr>
        <w:t>Betina</w:t>
      </w:r>
      <w:proofErr w:type="spellEnd"/>
      <w:r>
        <w:rPr>
          <w:rFonts w:ascii="Times New Roman" w:hAnsi="Times New Roman" w:cs="Times New Roman"/>
          <w:sz w:val="24"/>
          <w:szCs w:val="24"/>
        </w:rPr>
        <w:t xml:space="preserve"> Podgajski. </w:t>
      </w:r>
    </w:p>
    <w:p w:rsidR="00754D48" w:rsidRDefault="00754D48" w:rsidP="0082673C">
      <w:pPr>
        <w:pStyle w:val="Brezrazmikov"/>
        <w:jc w:val="both"/>
        <w:rPr>
          <w:rFonts w:ascii="Times New Roman" w:hAnsi="Times New Roman" w:cs="Times New Roman"/>
          <w:sz w:val="24"/>
          <w:szCs w:val="24"/>
        </w:rPr>
      </w:pPr>
    </w:p>
    <w:p w:rsidR="00266901" w:rsidRPr="00754D48" w:rsidRDefault="00266901" w:rsidP="0082673C">
      <w:pPr>
        <w:pStyle w:val="Brezrazmikov"/>
        <w:jc w:val="both"/>
        <w:rPr>
          <w:rFonts w:ascii="Times New Roman" w:hAnsi="Times New Roman" w:cs="Times New Roman"/>
          <w:sz w:val="24"/>
          <w:szCs w:val="24"/>
        </w:rPr>
      </w:pPr>
      <w:r w:rsidRPr="00754D48">
        <w:rPr>
          <w:rFonts w:ascii="Times New Roman" w:hAnsi="Times New Roman" w:cs="Times New Roman"/>
          <w:sz w:val="24"/>
          <w:szCs w:val="24"/>
        </w:rPr>
        <w:t>Prisotni v aktivu:</w:t>
      </w:r>
    </w:p>
    <w:p w:rsidR="009F23F4" w:rsidRDefault="00754D48" w:rsidP="0082673C">
      <w:pPr>
        <w:jc w:val="both"/>
        <w:rPr>
          <w:rFonts w:ascii="Times New Roman" w:hAnsi="Times New Roman" w:cs="Times New Roman"/>
          <w:sz w:val="24"/>
          <w:szCs w:val="24"/>
        </w:rPr>
      </w:pPr>
      <w:r>
        <w:rPr>
          <w:rFonts w:ascii="Times New Roman" w:hAnsi="Times New Roman" w:cs="Times New Roman"/>
          <w:sz w:val="24"/>
          <w:szCs w:val="24"/>
        </w:rPr>
        <w:t xml:space="preserve">Silva Ledinek (PRO), Natalija Klemenčič (PRO), </w:t>
      </w:r>
      <w:proofErr w:type="spellStart"/>
      <w:r>
        <w:rPr>
          <w:rFonts w:ascii="Times New Roman" w:hAnsi="Times New Roman" w:cs="Times New Roman"/>
          <w:sz w:val="24"/>
          <w:szCs w:val="24"/>
        </w:rPr>
        <w:t>Kropin</w:t>
      </w:r>
      <w:proofErr w:type="spellEnd"/>
      <w:r>
        <w:rPr>
          <w:rFonts w:ascii="Times New Roman" w:hAnsi="Times New Roman" w:cs="Times New Roman"/>
          <w:sz w:val="24"/>
          <w:szCs w:val="24"/>
        </w:rPr>
        <w:t xml:space="preserve"> Aleksandra (PRO), Sonja Smolar (TRŽ</w:t>
      </w:r>
      <w:r w:rsidR="006A2859">
        <w:rPr>
          <w:rFonts w:ascii="Times New Roman" w:hAnsi="Times New Roman" w:cs="Times New Roman"/>
          <w:sz w:val="24"/>
          <w:szCs w:val="24"/>
        </w:rPr>
        <w:t>, POD), Zdenka Grlica (PRO, TRŽ</w:t>
      </w:r>
      <w:r>
        <w:rPr>
          <w:rFonts w:ascii="Times New Roman" w:hAnsi="Times New Roman" w:cs="Times New Roman"/>
          <w:sz w:val="24"/>
          <w:szCs w:val="24"/>
        </w:rPr>
        <w:t xml:space="preserve">), </w:t>
      </w:r>
      <w:proofErr w:type="spellStart"/>
      <w:r>
        <w:rPr>
          <w:rFonts w:ascii="Times New Roman" w:hAnsi="Times New Roman" w:cs="Times New Roman"/>
          <w:sz w:val="24"/>
          <w:szCs w:val="24"/>
        </w:rPr>
        <w:t>Betina</w:t>
      </w:r>
      <w:proofErr w:type="spellEnd"/>
      <w:r>
        <w:rPr>
          <w:rFonts w:ascii="Times New Roman" w:hAnsi="Times New Roman" w:cs="Times New Roman"/>
          <w:sz w:val="24"/>
          <w:szCs w:val="24"/>
        </w:rPr>
        <w:t xml:space="preserve"> Podgajski (POD). </w:t>
      </w:r>
    </w:p>
    <w:p w:rsidR="00266901" w:rsidRDefault="00266901" w:rsidP="0082673C">
      <w:pPr>
        <w:jc w:val="both"/>
        <w:rPr>
          <w:rFonts w:ascii="Times New Roman" w:hAnsi="Times New Roman" w:cs="Times New Roman"/>
          <w:sz w:val="24"/>
          <w:szCs w:val="24"/>
        </w:rPr>
      </w:pPr>
      <w:r>
        <w:rPr>
          <w:rFonts w:ascii="Times New Roman" w:hAnsi="Times New Roman" w:cs="Times New Roman"/>
          <w:sz w:val="24"/>
          <w:szCs w:val="24"/>
        </w:rPr>
        <w:t xml:space="preserve">Strokovni aktiv za </w:t>
      </w:r>
      <w:r w:rsidRPr="00215D23">
        <w:rPr>
          <w:rFonts w:ascii="Times New Roman" w:hAnsi="Times New Roman" w:cs="Times New Roman"/>
          <w:sz w:val="24"/>
          <w:szCs w:val="24"/>
          <w:highlight w:val="yellow"/>
        </w:rPr>
        <w:t>PRO, TRŽ in POD</w:t>
      </w:r>
      <w:r>
        <w:rPr>
          <w:rFonts w:ascii="Times New Roman" w:hAnsi="Times New Roman" w:cs="Times New Roman"/>
          <w:sz w:val="24"/>
          <w:szCs w:val="24"/>
        </w:rPr>
        <w:t xml:space="preserve"> je obravnaval sledeče teme:</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Analiza dosedanjega dela</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Metode dela</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Študijska gradiva</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Medpredmetno povezovanje</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Izpitne naloge</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Projektne naloge</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 xml:space="preserve">Praktično izobraževanje </w:t>
      </w:r>
    </w:p>
    <w:p w:rsidR="00754D48" w:rsidRPr="00754D48"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Priznavanje znanj</w:t>
      </w:r>
    </w:p>
    <w:p w:rsidR="00266901" w:rsidRDefault="00754D48" w:rsidP="0082673C">
      <w:pPr>
        <w:pStyle w:val="Odstavekseznama"/>
        <w:numPr>
          <w:ilvl w:val="0"/>
          <w:numId w:val="2"/>
        </w:numPr>
        <w:jc w:val="both"/>
        <w:rPr>
          <w:rFonts w:ascii="Times New Roman" w:hAnsi="Times New Roman" w:cs="Times New Roman"/>
          <w:sz w:val="24"/>
          <w:szCs w:val="24"/>
        </w:rPr>
      </w:pPr>
      <w:r w:rsidRPr="00754D48">
        <w:rPr>
          <w:rFonts w:ascii="Times New Roman" w:hAnsi="Times New Roman" w:cs="Times New Roman"/>
          <w:sz w:val="24"/>
          <w:szCs w:val="24"/>
        </w:rPr>
        <w:t>Posebnosti pri izrednih študentih</w:t>
      </w:r>
    </w:p>
    <w:p w:rsidR="00754D48" w:rsidRDefault="00754D48" w:rsidP="0082673C">
      <w:pPr>
        <w:jc w:val="both"/>
      </w:pPr>
    </w:p>
    <w:p w:rsidR="005B2B55" w:rsidRDefault="005B2B55" w:rsidP="0082673C">
      <w:pPr>
        <w:jc w:val="both"/>
        <w:rPr>
          <w:rFonts w:ascii="Times New Roman" w:hAnsi="Times New Roman" w:cs="Times New Roman"/>
          <w:b/>
          <w:sz w:val="24"/>
          <w:szCs w:val="24"/>
        </w:rPr>
      </w:pPr>
      <w:r>
        <w:rPr>
          <w:rFonts w:ascii="Times New Roman" w:hAnsi="Times New Roman" w:cs="Times New Roman"/>
          <w:b/>
          <w:sz w:val="24"/>
          <w:szCs w:val="24"/>
        </w:rPr>
        <w:t xml:space="preserve">K tč. 1 </w:t>
      </w:r>
    </w:p>
    <w:p w:rsidR="009F23F4" w:rsidRPr="006E51CA" w:rsidRDefault="005B2B55" w:rsidP="0082673C">
      <w:pPr>
        <w:jc w:val="both"/>
        <w:rPr>
          <w:rFonts w:ascii="Times New Roman" w:hAnsi="Times New Roman" w:cs="Times New Roman"/>
          <w:sz w:val="24"/>
          <w:szCs w:val="24"/>
          <w:u w:val="single"/>
        </w:rPr>
      </w:pPr>
      <w:r>
        <w:rPr>
          <w:rFonts w:ascii="Times New Roman" w:hAnsi="Times New Roman" w:cs="Times New Roman"/>
          <w:b/>
          <w:sz w:val="24"/>
          <w:szCs w:val="24"/>
        </w:rPr>
        <w:t>P</w:t>
      </w:r>
      <w:r w:rsidR="009F23F4" w:rsidRPr="00886393">
        <w:rPr>
          <w:rFonts w:ascii="Times New Roman" w:hAnsi="Times New Roman" w:cs="Times New Roman"/>
          <w:sz w:val="24"/>
          <w:szCs w:val="24"/>
        </w:rPr>
        <w:t xml:space="preserve">osamezne članice </w:t>
      </w:r>
      <w:r w:rsidR="00791F70">
        <w:rPr>
          <w:rFonts w:ascii="Times New Roman" w:hAnsi="Times New Roman" w:cs="Times New Roman"/>
          <w:sz w:val="24"/>
          <w:szCs w:val="24"/>
        </w:rPr>
        <w:t xml:space="preserve">strokovnega aktiva predavateljev </w:t>
      </w:r>
      <w:r w:rsidR="009F23F4" w:rsidRPr="00886393">
        <w:rPr>
          <w:rFonts w:ascii="Times New Roman" w:hAnsi="Times New Roman" w:cs="Times New Roman"/>
          <w:sz w:val="24"/>
          <w:szCs w:val="24"/>
        </w:rPr>
        <w:t xml:space="preserve">so </w:t>
      </w:r>
      <w:r>
        <w:rPr>
          <w:rFonts w:ascii="Times New Roman" w:hAnsi="Times New Roman" w:cs="Times New Roman"/>
          <w:sz w:val="24"/>
          <w:szCs w:val="24"/>
        </w:rPr>
        <w:t>analizirale dosedanje delo s študenti pri posameznem predmetu. Delo je organizirano in izvedeno v skladu z katalogi znanj pri posameznem predmetu</w:t>
      </w:r>
      <w:r w:rsidR="006A2859">
        <w:rPr>
          <w:rFonts w:ascii="Times New Roman" w:hAnsi="Times New Roman" w:cs="Times New Roman"/>
          <w:sz w:val="24"/>
          <w:szCs w:val="24"/>
        </w:rPr>
        <w:t xml:space="preserve"> (cilji, kompetence, obveznosti študentov in posebnosti v izvedbi pri posameznem predmetu ter obveznimi načini ocenjevanja znanja, predmetnikom)</w:t>
      </w:r>
      <w:r>
        <w:rPr>
          <w:rFonts w:ascii="Times New Roman" w:hAnsi="Times New Roman" w:cs="Times New Roman"/>
          <w:sz w:val="24"/>
          <w:szCs w:val="24"/>
        </w:rPr>
        <w:t xml:space="preserve">. </w:t>
      </w:r>
      <w:r w:rsidR="009F23F4" w:rsidRPr="00886393">
        <w:rPr>
          <w:rFonts w:ascii="Times New Roman" w:hAnsi="Times New Roman" w:cs="Times New Roman"/>
          <w:sz w:val="24"/>
          <w:szCs w:val="24"/>
        </w:rPr>
        <w:t>Pri delu uporabljajo različne metode dela</w:t>
      </w:r>
      <w:r>
        <w:rPr>
          <w:rFonts w:ascii="Times New Roman" w:hAnsi="Times New Roman" w:cs="Times New Roman"/>
          <w:sz w:val="24"/>
          <w:szCs w:val="24"/>
        </w:rPr>
        <w:t xml:space="preserve">, </w:t>
      </w:r>
      <w:r w:rsidR="009F23F4" w:rsidRPr="00886393">
        <w:rPr>
          <w:rFonts w:ascii="Times New Roman" w:hAnsi="Times New Roman" w:cs="Times New Roman"/>
          <w:sz w:val="24"/>
          <w:szCs w:val="24"/>
        </w:rPr>
        <w:t>študente navajajo na konkretne delovne naloge</w:t>
      </w:r>
      <w:r>
        <w:rPr>
          <w:rFonts w:ascii="Times New Roman" w:hAnsi="Times New Roman" w:cs="Times New Roman"/>
          <w:sz w:val="24"/>
          <w:szCs w:val="24"/>
        </w:rPr>
        <w:t xml:space="preserve"> iz prakse, za delo jih ustrezno motivirajo, se medpredmetno povezujejo, stalno aktualizirajo vsebine predavanj in vaj</w:t>
      </w:r>
      <w:r w:rsidR="000952F7">
        <w:rPr>
          <w:rFonts w:ascii="Times New Roman" w:hAnsi="Times New Roman" w:cs="Times New Roman"/>
          <w:sz w:val="24"/>
          <w:szCs w:val="24"/>
        </w:rPr>
        <w:t>, posodabljajo literaturo</w:t>
      </w:r>
      <w:r w:rsidR="009F23F4" w:rsidRPr="00886393">
        <w:rPr>
          <w:rFonts w:ascii="Times New Roman" w:hAnsi="Times New Roman" w:cs="Times New Roman"/>
          <w:sz w:val="24"/>
          <w:szCs w:val="24"/>
        </w:rPr>
        <w:t xml:space="preserve">. </w:t>
      </w:r>
      <w:r>
        <w:rPr>
          <w:rFonts w:ascii="Times New Roman" w:hAnsi="Times New Roman" w:cs="Times New Roman"/>
          <w:sz w:val="24"/>
          <w:szCs w:val="24"/>
        </w:rPr>
        <w:t>Izbira</w:t>
      </w:r>
      <w:r w:rsidR="000952F7">
        <w:rPr>
          <w:rFonts w:ascii="Times New Roman" w:hAnsi="Times New Roman" w:cs="Times New Roman"/>
          <w:sz w:val="24"/>
          <w:szCs w:val="24"/>
        </w:rPr>
        <w:t xml:space="preserve">jo različne </w:t>
      </w:r>
      <w:r w:rsidRPr="006E51CA">
        <w:rPr>
          <w:rFonts w:ascii="Times New Roman" w:hAnsi="Times New Roman" w:cs="Times New Roman"/>
          <w:sz w:val="24"/>
          <w:szCs w:val="24"/>
          <w:u w:val="single"/>
        </w:rPr>
        <w:t xml:space="preserve">učinkovite </w:t>
      </w:r>
      <w:r w:rsidR="009F23F4" w:rsidRPr="006E51CA">
        <w:rPr>
          <w:rFonts w:ascii="Times New Roman" w:hAnsi="Times New Roman" w:cs="Times New Roman"/>
          <w:sz w:val="24"/>
          <w:szCs w:val="24"/>
          <w:u w:val="single"/>
        </w:rPr>
        <w:t>motivacij</w:t>
      </w:r>
      <w:r w:rsidRPr="006E51CA">
        <w:rPr>
          <w:rFonts w:ascii="Times New Roman" w:hAnsi="Times New Roman" w:cs="Times New Roman"/>
          <w:sz w:val="24"/>
          <w:szCs w:val="24"/>
          <w:u w:val="single"/>
        </w:rPr>
        <w:t>e</w:t>
      </w:r>
      <w:r w:rsidR="000952F7" w:rsidRPr="006E51CA">
        <w:rPr>
          <w:rFonts w:ascii="Times New Roman" w:hAnsi="Times New Roman" w:cs="Times New Roman"/>
          <w:sz w:val="24"/>
          <w:szCs w:val="24"/>
          <w:u w:val="single"/>
        </w:rPr>
        <w:t>, ki</w:t>
      </w:r>
      <w:r w:rsidR="009F23F4" w:rsidRPr="006E51CA">
        <w:rPr>
          <w:rFonts w:ascii="Times New Roman" w:hAnsi="Times New Roman" w:cs="Times New Roman"/>
          <w:sz w:val="24"/>
          <w:szCs w:val="24"/>
          <w:u w:val="single"/>
        </w:rPr>
        <w:t xml:space="preserve"> je pogost problem pri delu z rednimi študenti. </w:t>
      </w:r>
    </w:p>
    <w:p w:rsidR="009F23F4" w:rsidRDefault="009F23F4" w:rsidP="0082673C">
      <w:pPr>
        <w:jc w:val="both"/>
      </w:pPr>
    </w:p>
    <w:p w:rsidR="000952F7" w:rsidRDefault="000952F7" w:rsidP="0082673C">
      <w:pPr>
        <w:jc w:val="both"/>
      </w:pPr>
    </w:p>
    <w:p w:rsidR="000952F7" w:rsidRDefault="000952F7" w:rsidP="0082673C">
      <w:pPr>
        <w:jc w:val="both"/>
      </w:pPr>
    </w:p>
    <w:p w:rsidR="005B2B55" w:rsidRPr="005B2B55" w:rsidRDefault="005B2B55" w:rsidP="0082673C">
      <w:pPr>
        <w:pStyle w:val="Odstavekseznama"/>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 tč. 2 </w:t>
      </w:r>
    </w:p>
    <w:p w:rsidR="005B2B55" w:rsidRDefault="005B2B55" w:rsidP="0082673C">
      <w:pPr>
        <w:pStyle w:val="Odstavekseznama"/>
        <w:ind w:left="0"/>
        <w:jc w:val="both"/>
        <w:rPr>
          <w:rFonts w:ascii="Times New Roman" w:hAnsi="Times New Roman" w:cs="Times New Roman"/>
          <w:sz w:val="24"/>
          <w:szCs w:val="24"/>
        </w:rPr>
      </w:pPr>
    </w:p>
    <w:p w:rsidR="009F23F4" w:rsidRPr="00886393" w:rsidRDefault="009F23F4" w:rsidP="0082673C">
      <w:pPr>
        <w:pStyle w:val="Odstavekseznama"/>
        <w:ind w:left="0"/>
        <w:jc w:val="both"/>
        <w:rPr>
          <w:rFonts w:ascii="Times New Roman" w:hAnsi="Times New Roman" w:cs="Times New Roman"/>
          <w:sz w:val="24"/>
          <w:szCs w:val="24"/>
        </w:rPr>
      </w:pPr>
      <w:r w:rsidRPr="00886393">
        <w:rPr>
          <w:rFonts w:ascii="Times New Roman" w:hAnsi="Times New Roman" w:cs="Times New Roman"/>
          <w:sz w:val="24"/>
          <w:szCs w:val="24"/>
        </w:rPr>
        <w:t xml:space="preserve">Članice strokovnega aktiva </w:t>
      </w:r>
      <w:r w:rsidR="00791F70">
        <w:rPr>
          <w:rFonts w:ascii="Times New Roman" w:hAnsi="Times New Roman" w:cs="Times New Roman"/>
          <w:sz w:val="24"/>
          <w:szCs w:val="24"/>
        </w:rPr>
        <w:t xml:space="preserve">predavateljev </w:t>
      </w:r>
      <w:r w:rsidRPr="00886393">
        <w:rPr>
          <w:rFonts w:ascii="Times New Roman" w:hAnsi="Times New Roman" w:cs="Times New Roman"/>
          <w:sz w:val="24"/>
          <w:szCs w:val="24"/>
        </w:rPr>
        <w:t>pri delu</w:t>
      </w:r>
      <w:r w:rsidR="005B2B55">
        <w:rPr>
          <w:rFonts w:ascii="Times New Roman" w:hAnsi="Times New Roman" w:cs="Times New Roman"/>
          <w:sz w:val="24"/>
          <w:szCs w:val="24"/>
        </w:rPr>
        <w:t>, poleg standardnih m</w:t>
      </w:r>
      <w:r w:rsidR="000952F7">
        <w:rPr>
          <w:rFonts w:ascii="Times New Roman" w:hAnsi="Times New Roman" w:cs="Times New Roman"/>
          <w:sz w:val="24"/>
          <w:szCs w:val="24"/>
        </w:rPr>
        <w:t>etod</w:t>
      </w:r>
      <w:r w:rsidR="005B2B55">
        <w:rPr>
          <w:rFonts w:ascii="Times New Roman" w:hAnsi="Times New Roman" w:cs="Times New Roman"/>
          <w:sz w:val="24"/>
          <w:szCs w:val="24"/>
        </w:rPr>
        <w:t xml:space="preserve"> poučevanja,</w:t>
      </w:r>
      <w:r w:rsidRPr="00886393">
        <w:rPr>
          <w:rFonts w:ascii="Times New Roman" w:hAnsi="Times New Roman" w:cs="Times New Roman"/>
          <w:sz w:val="24"/>
          <w:szCs w:val="24"/>
        </w:rPr>
        <w:t xml:space="preserve"> uporabljajo različne </w:t>
      </w:r>
      <w:r w:rsidR="005B2B55">
        <w:rPr>
          <w:rFonts w:ascii="Times New Roman" w:hAnsi="Times New Roman" w:cs="Times New Roman"/>
          <w:sz w:val="24"/>
          <w:szCs w:val="24"/>
        </w:rPr>
        <w:t xml:space="preserve">sodobne </w:t>
      </w:r>
      <w:r w:rsidRPr="00886393">
        <w:rPr>
          <w:rFonts w:ascii="Times New Roman" w:hAnsi="Times New Roman" w:cs="Times New Roman"/>
          <w:sz w:val="24"/>
          <w:szCs w:val="24"/>
        </w:rPr>
        <w:t>metode dela</w:t>
      </w:r>
      <w:r w:rsidR="005B2B55">
        <w:rPr>
          <w:rFonts w:ascii="Times New Roman" w:hAnsi="Times New Roman" w:cs="Times New Roman"/>
          <w:sz w:val="24"/>
          <w:szCs w:val="24"/>
        </w:rPr>
        <w:t>, ki so prilagojene zahtevam okolja in zmožnostim študentov</w:t>
      </w:r>
      <w:r w:rsidRPr="00886393">
        <w:rPr>
          <w:rFonts w:ascii="Times New Roman" w:hAnsi="Times New Roman" w:cs="Times New Roman"/>
          <w:sz w:val="24"/>
          <w:szCs w:val="24"/>
        </w:rPr>
        <w:t xml:space="preserve">: </w:t>
      </w:r>
      <w:r w:rsidR="004E3740">
        <w:rPr>
          <w:rFonts w:ascii="Times New Roman" w:hAnsi="Times New Roman" w:cs="Times New Roman"/>
          <w:sz w:val="24"/>
          <w:szCs w:val="24"/>
        </w:rPr>
        <w:t xml:space="preserve">igra vlog (prodajni razgovori, skriti kupec itd.), </w:t>
      </w:r>
      <w:r w:rsidRPr="00886393">
        <w:rPr>
          <w:rFonts w:ascii="Times New Roman" w:hAnsi="Times New Roman" w:cs="Times New Roman"/>
          <w:sz w:val="24"/>
          <w:szCs w:val="24"/>
        </w:rPr>
        <w:t xml:space="preserve">projektno delo, timsko delo, </w:t>
      </w:r>
      <w:r w:rsidR="004853A8" w:rsidRPr="00886393">
        <w:rPr>
          <w:rFonts w:ascii="Times New Roman" w:hAnsi="Times New Roman" w:cs="Times New Roman"/>
          <w:sz w:val="24"/>
          <w:szCs w:val="24"/>
        </w:rPr>
        <w:t>učni projekti, terenske vaje, strokovne ekskurzije</w:t>
      </w:r>
      <w:r w:rsidR="005B2B55">
        <w:rPr>
          <w:rFonts w:ascii="Times New Roman" w:hAnsi="Times New Roman" w:cs="Times New Roman"/>
          <w:sz w:val="24"/>
          <w:szCs w:val="24"/>
        </w:rPr>
        <w:t xml:space="preserve"> (študentje se jih radi udeležujejo)</w:t>
      </w:r>
      <w:r w:rsidR="004853A8" w:rsidRPr="00886393">
        <w:rPr>
          <w:rFonts w:ascii="Times New Roman" w:hAnsi="Times New Roman" w:cs="Times New Roman"/>
          <w:sz w:val="24"/>
          <w:szCs w:val="24"/>
        </w:rPr>
        <w:t xml:space="preserve">, </w:t>
      </w:r>
      <w:r w:rsidR="004E3740">
        <w:rPr>
          <w:rFonts w:ascii="Times New Roman" w:hAnsi="Times New Roman" w:cs="Times New Roman"/>
          <w:sz w:val="24"/>
          <w:szCs w:val="24"/>
        </w:rPr>
        <w:t xml:space="preserve">obiski sejmov, </w:t>
      </w:r>
      <w:r w:rsidR="00653054">
        <w:rPr>
          <w:rFonts w:ascii="Times New Roman" w:hAnsi="Times New Roman" w:cs="Times New Roman"/>
          <w:sz w:val="24"/>
          <w:szCs w:val="24"/>
        </w:rPr>
        <w:t xml:space="preserve">udeležba na turistični tržnici, </w:t>
      </w:r>
      <w:r w:rsidR="005B2B55">
        <w:rPr>
          <w:rFonts w:ascii="Times New Roman" w:hAnsi="Times New Roman" w:cs="Times New Roman"/>
          <w:sz w:val="24"/>
          <w:szCs w:val="24"/>
        </w:rPr>
        <w:t>delo za znanega naročnika (raziskave trga</w:t>
      </w:r>
      <w:r w:rsidR="004E3740">
        <w:rPr>
          <w:rFonts w:ascii="Times New Roman" w:hAnsi="Times New Roman" w:cs="Times New Roman"/>
          <w:sz w:val="24"/>
          <w:szCs w:val="24"/>
        </w:rPr>
        <w:t xml:space="preserve"> ali izdelava promocijskega materiala: video in televizijsko oglaševanje itd.</w:t>
      </w:r>
      <w:r w:rsidR="005B2B55">
        <w:rPr>
          <w:rFonts w:ascii="Times New Roman" w:hAnsi="Times New Roman" w:cs="Times New Roman"/>
          <w:sz w:val="24"/>
          <w:szCs w:val="24"/>
        </w:rPr>
        <w:t>)</w:t>
      </w:r>
      <w:r w:rsidR="000952F7">
        <w:rPr>
          <w:rFonts w:ascii="Times New Roman" w:hAnsi="Times New Roman" w:cs="Times New Roman"/>
          <w:sz w:val="24"/>
          <w:szCs w:val="24"/>
        </w:rPr>
        <w:t>.</w:t>
      </w:r>
      <w:r w:rsidR="005B2B55">
        <w:rPr>
          <w:rFonts w:ascii="Times New Roman" w:hAnsi="Times New Roman" w:cs="Times New Roman"/>
          <w:sz w:val="24"/>
          <w:szCs w:val="24"/>
        </w:rPr>
        <w:t xml:space="preserve"> </w:t>
      </w:r>
      <w:r w:rsidR="004E3740">
        <w:rPr>
          <w:rFonts w:ascii="Times New Roman" w:hAnsi="Times New Roman" w:cs="Times New Roman"/>
          <w:sz w:val="24"/>
          <w:szCs w:val="24"/>
        </w:rPr>
        <w:t xml:space="preserve"> Posamezne članice pri predmetu trženje študente aktivno vključujejo v promocijo šole (predstavitve šole na srednješolskih sejmih, izdelava propagandnega materiala), kjer usvojeno znanje preizkusijo v praksi na terenu</w:t>
      </w:r>
      <w:r w:rsidR="000952F7">
        <w:rPr>
          <w:rFonts w:ascii="Times New Roman" w:hAnsi="Times New Roman" w:cs="Times New Roman"/>
          <w:sz w:val="24"/>
          <w:szCs w:val="24"/>
        </w:rPr>
        <w:t xml:space="preserve"> in hkrati posledično koristijo šoli</w:t>
      </w:r>
      <w:r w:rsidR="004E3740">
        <w:rPr>
          <w:rFonts w:ascii="Times New Roman" w:hAnsi="Times New Roman" w:cs="Times New Roman"/>
          <w:sz w:val="24"/>
          <w:szCs w:val="24"/>
        </w:rPr>
        <w:t xml:space="preserve">. Študente za delo in zagotavljanje prisotnosti na </w:t>
      </w:r>
      <w:r w:rsidR="004E3740" w:rsidRPr="006E51CA">
        <w:rPr>
          <w:rFonts w:ascii="Times New Roman" w:hAnsi="Times New Roman" w:cs="Times New Roman"/>
          <w:sz w:val="24"/>
          <w:szCs w:val="24"/>
          <w:u w:val="single"/>
        </w:rPr>
        <w:t>predavanjih in vajah motivirajo z različnimi tehnikami dela (koriščenje bonusov</w:t>
      </w:r>
      <w:r w:rsidR="004E3740">
        <w:rPr>
          <w:rFonts w:ascii="Times New Roman" w:hAnsi="Times New Roman" w:cs="Times New Roman"/>
          <w:sz w:val="24"/>
          <w:szCs w:val="24"/>
        </w:rPr>
        <w:t xml:space="preserve"> </w:t>
      </w:r>
      <w:r w:rsidR="00C6405A">
        <w:rPr>
          <w:rFonts w:ascii="Times New Roman" w:hAnsi="Times New Roman" w:cs="Times New Roman"/>
          <w:sz w:val="24"/>
          <w:szCs w:val="24"/>
        </w:rPr>
        <w:t xml:space="preserve">pri pridobivanju ocen </w:t>
      </w:r>
      <w:r w:rsidR="004E3740">
        <w:rPr>
          <w:rFonts w:ascii="Times New Roman" w:hAnsi="Times New Roman" w:cs="Times New Roman"/>
          <w:sz w:val="24"/>
          <w:szCs w:val="24"/>
        </w:rPr>
        <w:t>ob 100 % prisotnosti na predavanjih</w:t>
      </w:r>
      <w:r w:rsidR="00C6405A">
        <w:rPr>
          <w:rFonts w:ascii="Times New Roman" w:hAnsi="Times New Roman" w:cs="Times New Roman"/>
          <w:sz w:val="24"/>
          <w:szCs w:val="24"/>
        </w:rPr>
        <w:t xml:space="preserve"> ali kakovostno in kvantitativno opravljenih nalogah na vajah</w:t>
      </w:r>
      <w:r w:rsidR="004E3740">
        <w:rPr>
          <w:rFonts w:ascii="Times New Roman" w:hAnsi="Times New Roman" w:cs="Times New Roman"/>
          <w:sz w:val="24"/>
          <w:szCs w:val="24"/>
        </w:rPr>
        <w:t xml:space="preserve">). </w:t>
      </w:r>
    </w:p>
    <w:p w:rsidR="009F23F4" w:rsidRDefault="009F23F4" w:rsidP="0082673C">
      <w:pPr>
        <w:jc w:val="both"/>
        <w:rPr>
          <w:rFonts w:ascii="Times New Roman" w:hAnsi="Times New Roman" w:cs="Times New Roman"/>
          <w:sz w:val="24"/>
          <w:szCs w:val="24"/>
        </w:rPr>
      </w:pPr>
    </w:p>
    <w:p w:rsidR="00C6405A" w:rsidRPr="00C6405A" w:rsidRDefault="00C6405A" w:rsidP="0082673C">
      <w:pPr>
        <w:jc w:val="both"/>
        <w:rPr>
          <w:rFonts w:ascii="Times New Roman" w:hAnsi="Times New Roman" w:cs="Times New Roman"/>
          <w:b/>
          <w:sz w:val="24"/>
          <w:szCs w:val="24"/>
        </w:rPr>
      </w:pPr>
      <w:r>
        <w:rPr>
          <w:rFonts w:ascii="Times New Roman" w:hAnsi="Times New Roman" w:cs="Times New Roman"/>
          <w:b/>
          <w:sz w:val="24"/>
          <w:szCs w:val="24"/>
        </w:rPr>
        <w:t xml:space="preserve">K tč. 3 </w:t>
      </w:r>
    </w:p>
    <w:p w:rsidR="00C6405A" w:rsidRDefault="00C6405A" w:rsidP="0082673C">
      <w:pPr>
        <w:jc w:val="both"/>
        <w:rPr>
          <w:rFonts w:ascii="Times New Roman" w:hAnsi="Times New Roman" w:cs="Times New Roman"/>
          <w:sz w:val="24"/>
          <w:szCs w:val="24"/>
        </w:rPr>
      </w:pPr>
      <w:r w:rsidRPr="00886393">
        <w:rPr>
          <w:rFonts w:ascii="Times New Roman" w:hAnsi="Times New Roman" w:cs="Times New Roman"/>
          <w:sz w:val="24"/>
          <w:szCs w:val="24"/>
        </w:rPr>
        <w:t xml:space="preserve">Članice </w:t>
      </w:r>
      <w:r w:rsidR="00791F70">
        <w:rPr>
          <w:rFonts w:ascii="Times New Roman" w:hAnsi="Times New Roman" w:cs="Times New Roman"/>
          <w:sz w:val="24"/>
          <w:szCs w:val="24"/>
        </w:rPr>
        <w:t xml:space="preserve">strokovnega </w:t>
      </w:r>
      <w:r w:rsidRPr="00886393">
        <w:rPr>
          <w:rFonts w:ascii="Times New Roman" w:hAnsi="Times New Roman" w:cs="Times New Roman"/>
          <w:sz w:val="24"/>
          <w:szCs w:val="24"/>
        </w:rPr>
        <w:t>aktiva</w:t>
      </w:r>
      <w:r w:rsidR="00791F70">
        <w:rPr>
          <w:rFonts w:ascii="Times New Roman" w:hAnsi="Times New Roman" w:cs="Times New Roman"/>
          <w:sz w:val="24"/>
          <w:szCs w:val="24"/>
        </w:rPr>
        <w:t xml:space="preserve"> predavateljev</w:t>
      </w:r>
      <w:r w:rsidRPr="00886393">
        <w:rPr>
          <w:rFonts w:ascii="Times New Roman" w:hAnsi="Times New Roman" w:cs="Times New Roman"/>
          <w:sz w:val="24"/>
          <w:szCs w:val="24"/>
        </w:rPr>
        <w:t xml:space="preserve"> ugotavljajo, da je k</w:t>
      </w:r>
      <w:r>
        <w:rPr>
          <w:rFonts w:ascii="Times New Roman" w:hAnsi="Times New Roman" w:cs="Times New Roman"/>
          <w:sz w:val="24"/>
          <w:szCs w:val="24"/>
        </w:rPr>
        <w:t>akovostno</w:t>
      </w:r>
      <w:r w:rsidRPr="00886393">
        <w:rPr>
          <w:rFonts w:ascii="Times New Roman" w:hAnsi="Times New Roman" w:cs="Times New Roman"/>
          <w:sz w:val="24"/>
          <w:szCs w:val="24"/>
        </w:rPr>
        <w:t xml:space="preserve"> gradivo </w:t>
      </w:r>
      <w:r>
        <w:rPr>
          <w:rFonts w:ascii="Times New Roman" w:hAnsi="Times New Roman" w:cs="Times New Roman"/>
          <w:sz w:val="24"/>
          <w:szCs w:val="24"/>
        </w:rPr>
        <w:t xml:space="preserve">in literatura pri posameznem predmetu </w:t>
      </w:r>
      <w:r w:rsidRPr="00886393">
        <w:rPr>
          <w:rFonts w:ascii="Times New Roman" w:hAnsi="Times New Roman" w:cs="Times New Roman"/>
          <w:sz w:val="24"/>
          <w:szCs w:val="24"/>
        </w:rPr>
        <w:t xml:space="preserve">osnova za nemoteno </w:t>
      </w:r>
      <w:r w:rsidR="000952F7">
        <w:rPr>
          <w:rFonts w:ascii="Times New Roman" w:hAnsi="Times New Roman" w:cs="Times New Roman"/>
          <w:sz w:val="24"/>
          <w:szCs w:val="24"/>
        </w:rPr>
        <w:t xml:space="preserve">kakovostno </w:t>
      </w:r>
      <w:r w:rsidRPr="00886393">
        <w:rPr>
          <w:rFonts w:ascii="Times New Roman" w:hAnsi="Times New Roman" w:cs="Times New Roman"/>
          <w:sz w:val="24"/>
          <w:szCs w:val="24"/>
        </w:rPr>
        <w:t xml:space="preserve">izvajanje študijskega dela. </w:t>
      </w:r>
      <w:r w:rsidRPr="006E51CA">
        <w:rPr>
          <w:rFonts w:ascii="Times New Roman" w:hAnsi="Times New Roman" w:cs="Times New Roman"/>
          <w:sz w:val="24"/>
          <w:szCs w:val="24"/>
          <w:u w:val="single"/>
        </w:rPr>
        <w:t>Pri delu uporabljajo spletno učilnico</w:t>
      </w:r>
      <w:r>
        <w:rPr>
          <w:rFonts w:ascii="Times New Roman" w:hAnsi="Times New Roman" w:cs="Times New Roman"/>
          <w:sz w:val="24"/>
          <w:szCs w:val="24"/>
        </w:rPr>
        <w:t xml:space="preserve">, delovne liste z vajami, lastne skripte,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prosojnice, Google orodja, različno gradivo (povezave do aktualnih domačih in tujih člankov, </w:t>
      </w:r>
      <w:proofErr w:type="spellStart"/>
      <w:r>
        <w:rPr>
          <w:rFonts w:ascii="Times New Roman" w:hAnsi="Times New Roman" w:cs="Times New Roman"/>
          <w:sz w:val="24"/>
          <w:szCs w:val="24"/>
        </w:rPr>
        <w:t>prostodostopnih</w:t>
      </w:r>
      <w:proofErr w:type="spellEnd"/>
      <w:r>
        <w:rPr>
          <w:rFonts w:ascii="Times New Roman" w:hAnsi="Times New Roman" w:cs="Times New Roman"/>
          <w:sz w:val="24"/>
          <w:szCs w:val="24"/>
        </w:rPr>
        <w:t xml:space="preserve"> gradiv, skript, spletne strani, </w:t>
      </w:r>
      <w:proofErr w:type="spellStart"/>
      <w:r>
        <w:rPr>
          <w:rFonts w:ascii="Times New Roman" w:hAnsi="Times New Roman" w:cs="Times New Roman"/>
          <w:sz w:val="24"/>
          <w:szCs w:val="24"/>
        </w:rPr>
        <w:t>videopredstavitev</w:t>
      </w:r>
      <w:proofErr w:type="spellEnd"/>
      <w:r>
        <w:rPr>
          <w:rFonts w:ascii="Times New Roman" w:hAnsi="Times New Roman" w:cs="Times New Roman"/>
          <w:sz w:val="24"/>
          <w:szCs w:val="24"/>
        </w:rPr>
        <w:t>, multimedijo itd.) in literaturo (</w:t>
      </w:r>
      <w:proofErr w:type="spellStart"/>
      <w:r>
        <w:rPr>
          <w:rFonts w:ascii="Times New Roman" w:hAnsi="Times New Roman" w:cs="Times New Roman"/>
          <w:sz w:val="24"/>
          <w:szCs w:val="24"/>
        </w:rPr>
        <w:t>Impletum</w:t>
      </w:r>
      <w:proofErr w:type="spellEnd"/>
      <w:r>
        <w:rPr>
          <w:rFonts w:ascii="Times New Roman" w:hAnsi="Times New Roman" w:cs="Times New Roman"/>
          <w:sz w:val="24"/>
          <w:szCs w:val="24"/>
        </w:rPr>
        <w:t xml:space="preserve">), ki jo stalno posodabljajo. </w:t>
      </w:r>
      <w:r w:rsidRPr="00886393">
        <w:rPr>
          <w:rFonts w:ascii="Times New Roman" w:hAnsi="Times New Roman" w:cs="Times New Roman"/>
          <w:sz w:val="24"/>
          <w:szCs w:val="24"/>
        </w:rPr>
        <w:t>Ugotavljajo, da je študente potrebno nava</w:t>
      </w:r>
      <w:r>
        <w:rPr>
          <w:rFonts w:ascii="Times New Roman" w:hAnsi="Times New Roman" w:cs="Times New Roman"/>
          <w:sz w:val="24"/>
          <w:szCs w:val="24"/>
        </w:rPr>
        <w:t>jati</w:t>
      </w:r>
      <w:r w:rsidRPr="00886393">
        <w:rPr>
          <w:rFonts w:ascii="Times New Roman" w:hAnsi="Times New Roman" w:cs="Times New Roman"/>
          <w:sz w:val="24"/>
          <w:szCs w:val="24"/>
        </w:rPr>
        <w:t xml:space="preserve"> </w:t>
      </w:r>
      <w:r>
        <w:rPr>
          <w:rFonts w:ascii="Times New Roman" w:hAnsi="Times New Roman" w:cs="Times New Roman"/>
          <w:sz w:val="24"/>
          <w:szCs w:val="24"/>
        </w:rPr>
        <w:t xml:space="preserve">tudi </w:t>
      </w:r>
      <w:r w:rsidRPr="00886393">
        <w:rPr>
          <w:rFonts w:ascii="Times New Roman" w:hAnsi="Times New Roman" w:cs="Times New Roman"/>
          <w:sz w:val="24"/>
          <w:szCs w:val="24"/>
        </w:rPr>
        <w:t xml:space="preserve">na uporabo dodatnih virov in literature, tuje literature </w:t>
      </w:r>
      <w:r>
        <w:rPr>
          <w:rFonts w:ascii="Times New Roman" w:hAnsi="Times New Roman" w:cs="Times New Roman"/>
          <w:sz w:val="24"/>
          <w:szCs w:val="24"/>
        </w:rPr>
        <w:t>ter</w:t>
      </w:r>
      <w:r w:rsidRPr="00886393">
        <w:rPr>
          <w:rFonts w:ascii="Times New Roman" w:hAnsi="Times New Roman" w:cs="Times New Roman"/>
          <w:sz w:val="24"/>
          <w:szCs w:val="24"/>
        </w:rPr>
        <w:t xml:space="preserve"> jih navaditi na samostojnost pri delu.</w:t>
      </w:r>
      <w:r>
        <w:rPr>
          <w:rFonts w:ascii="Times New Roman" w:hAnsi="Times New Roman" w:cs="Times New Roman"/>
          <w:sz w:val="24"/>
          <w:szCs w:val="24"/>
        </w:rPr>
        <w:t xml:space="preserve"> </w:t>
      </w:r>
    </w:p>
    <w:p w:rsidR="00C6405A" w:rsidRDefault="00C6405A" w:rsidP="0082673C">
      <w:pPr>
        <w:jc w:val="both"/>
        <w:rPr>
          <w:rFonts w:ascii="Times New Roman" w:hAnsi="Times New Roman" w:cs="Times New Roman"/>
          <w:sz w:val="24"/>
          <w:szCs w:val="24"/>
        </w:rPr>
      </w:pPr>
    </w:p>
    <w:p w:rsidR="00C6405A" w:rsidRDefault="00C6405A" w:rsidP="0082673C">
      <w:pPr>
        <w:jc w:val="both"/>
        <w:rPr>
          <w:rFonts w:ascii="Times New Roman" w:hAnsi="Times New Roman" w:cs="Times New Roman"/>
          <w:b/>
          <w:sz w:val="24"/>
          <w:szCs w:val="24"/>
        </w:rPr>
      </w:pPr>
      <w:r>
        <w:rPr>
          <w:rFonts w:ascii="Times New Roman" w:hAnsi="Times New Roman" w:cs="Times New Roman"/>
          <w:b/>
          <w:sz w:val="24"/>
          <w:szCs w:val="24"/>
        </w:rPr>
        <w:t>K tč. 4</w:t>
      </w:r>
    </w:p>
    <w:p w:rsidR="009F23F4" w:rsidRDefault="004853A8" w:rsidP="0082673C">
      <w:pPr>
        <w:jc w:val="both"/>
        <w:rPr>
          <w:rFonts w:ascii="Times New Roman" w:hAnsi="Times New Roman" w:cs="Times New Roman"/>
          <w:sz w:val="24"/>
          <w:szCs w:val="24"/>
        </w:rPr>
      </w:pPr>
      <w:r w:rsidRPr="00886393">
        <w:rPr>
          <w:rFonts w:ascii="Times New Roman" w:hAnsi="Times New Roman" w:cs="Times New Roman"/>
          <w:sz w:val="24"/>
          <w:szCs w:val="24"/>
        </w:rPr>
        <w:t xml:space="preserve">Članice strokovnega aktiva </w:t>
      </w:r>
      <w:r w:rsidR="00791F70">
        <w:rPr>
          <w:rFonts w:ascii="Times New Roman" w:hAnsi="Times New Roman" w:cs="Times New Roman"/>
          <w:sz w:val="24"/>
          <w:szCs w:val="24"/>
        </w:rPr>
        <w:t xml:space="preserve">predavateljev </w:t>
      </w:r>
      <w:r w:rsidRPr="00886393">
        <w:rPr>
          <w:rFonts w:ascii="Times New Roman" w:hAnsi="Times New Roman" w:cs="Times New Roman"/>
          <w:sz w:val="24"/>
          <w:szCs w:val="24"/>
        </w:rPr>
        <w:t xml:space="preserve">imajo </w:t>
      </w:r>
      <w:r w:rsidR="00791F70">
        <w:rPr>
          <w:rFonts w:ascii="Times New Roman" w:hAnsi="Times New Roman" w:cs="Times New Roman"/>
          <w:sz w:val="24"/>
          <w:szCs w:val="24"/>
        </w:rPr>
        <w:t>podobne</w:t>
      </w:r>
      <w:r w:rsidRPr="00886393">
        <w:rPr>
          <w:rFonts w:ascii="Times New Roman" w:hAnsi="Times New Roman" w:cs="Times New Roman"/>
          <w:sz w:val="24"/>
          <w:szCs w:val="24"/>
        </w:rPr>
        <w:t xml:space="preserve"> izkušnje z medpredmetnim povezovanjem. Izvajajo ga predvsem pri projektnih nalogah</w:t>
      </w:r>
      <w:r w:rsidR="00791F70">
        <w:rPr>
          <w:rFonts w:ascii="Times New Roman" w:hAnsi="Times New Roman" w:cs="Times New Roman"/>
          <w:sz w:val="24"/>
          <w:szCs w:val="24"/>
        </w:rPr>
        <w:t>, vajah in tudi na strokovnih ekskurzijah po podjetjih</w:t>
      </w:r>
      <w:r w:rsidRPr="00886393">
        <w:rPr>
          <w:rFonts w:ascii="Times New Roman" w:hAnsi="Times New Roman" w:cs="Times New Roman"/>
          <w:sz w:val="24"/>
          <w:szCs w:val="24"/>
        </w:rPr>
        <w:t>. P</w:t>
      </w:r>
      <w:r w:rsidR="00064359">
        <w:rPr>
          <w:rFonts w:ascii="Times New Roman" w:hAnsi="Times New Roman" w:cs="Times New Roman"/>
          <w:sz w:val="24"/>
          <w:szCs w:val="24"/>
        </w:rPr>
        <w:t>ogosto</w:t>
      </w:r>
      <w:r w:rsidRPr="00886393">
        <w:rPr>
          <w:rFonts w:ascii="Times New Roman" w:hAnsi="Times New Roman" w:cs="Times New Roman"/>
          <w:sz w:val="24"/>
          <w:szCs w:val="24"/>
        </w:rPr>
        <w:t xml:space="preserve"> se </w:t>
      </w:r>
      <w:r w:rsidR="00791F70">
        <w:rPr>
          <w:rFonts w:ascii="Times New Roman" w:hAnsi="Times New Roman" w:cs="Times New Roman"/>
          <w:sz w:val="24"/>
          <w:szCs w:val="24"/>
        </w:rPr>
        <w:t xml:space="preserve">medpredmetno </w:t>
      </w:r>
      <w:r w:rsidRPr="00886393">
        <w:rPr>
          <w:rFonts w:ascii="Times New Roman" w:hAnsi="Times New Roman" w:cs="Times New Roman"/>
          <w:sz w:val="24"/>
          <w:szCs w:val="24"/>
        </w:rPr>
        <w:t>povezujejo informatika in strokovni predmeti</w:t>
      </w:r>
      <w:r w:rsidR="00791F70">
        <w:rPr>
          <w:rFonts w:ascii="Times New Roman" w:hAnsi="Times New Roman" w:cs="Times New Roman"/>
          <w:sz w:val="24"/>
          <w:szCs w:val="24"/>
        </w:rPr>
        <w:t>: trženje in prodaja, podjetništvo, poslovno komuniciranje, trženje, poslovna matematika s statistiko in informatika, prodaja in nabava, trženje in poslovna matematika s statistiko</w:t>
      </w:r>
      <w:r w:rsidRPr="00886393">
        <w:rPr>
          <w:rFonts w:ascii="Times New Roman" w:hAnsi="Times New Roman" w:cs="Times New Roman"/>
          <w:sz w:val="24"/>
          <w:szCs w:val="24"/>
        </w:rPr>
        <w:t xml:space="preserve">. </w:t>
      </w:r>
      <w:r w:rsidR="00791F70">
        <w:rPr>
          <w:rFonts w:ascii="Times New Roman" w:hAnsi="Times New Roman" w:cs="Times New Roman"/>
          <w:sz w:val="24"/>
          <w:szCs w:val="24"/>
        </w:rPr>
        <w:t>Posamezne članice pa medpredmetno povezovanje izvajajo tudi v komb</w:t>
      </w:r>
      <w:r w:rsidR="000952F7">
        <w:rPr>
          <w:rFonts w:ascii="Times New Roman" w:hAnsi="Times New Roman" w:cs="Times New Roman"/>
          <w:sz w:val="24"/>
          <w:szCs w:val="24"/>
        </w:rPr>
        <w:t xml:space="preserve">inaciji med </w:t>
      </w:r>
      <w:r w:rsidR="00791F70">
        <w:rPr>
          <w:rFonts w:ascii="Times New Roman" w:hAnsi="Times New Roman" w:cs="Times New Roman"/>
          <w:sz w:val="24"/>
          <w:szCs w:val="24"/>
        </w:rPr>
        <w:t xml:space="preserve">različnimi študijskimi programi. Menijo, da je medpredmetno povezovanje koristno za predavatelje in študente. </w:t>
      </w:r>
    </w:p>
    <w:p w:rsidR="00791F70" w:rsidRDefault="00791F70" w:rsidP="0082673C">
      <w:pPr>
        <w:jc w:val="both"/>
        <w:rPr>
          <w:rFonts w:ascii="Times New Roman" w:hAnsi="Times New Roman" w:cs="Times New Roman"/>
          <w:sz w:val="24"/>
          <w:szCs w:val="24"/>
        </w:rPr>
      </w:pPr>
    </w:p>
    <w:p w:rsidR="00791F70" w:rsidRDefault="00791F70" w:rsidP="0082673C">
      <w:pPr>
        <w:jc w:val="both"/>
        <w:rPr>
          <w:rFonts w:ascii="Times New Roman" w:hAnsi="Times New Roman" w:cs="Times New Roman"/>
          <w:b/>
          <w:sz w:val="24"/>
          <w:szCs w:val="24"/>
        </w:rPr>
      </w:pPr>
      <w:r>
        <w:rPr>
          <w:rFonts w:ascii="Times New Roman" w:hAnsi="Times New Roman" w:cs="Times New Roman"/>
          <w:b/>
          <w:sz w:val="24"/>
          <w:szCs w:val="24"/>
        </w:rPr>
        <w:t>K tč. 5</w:t>
      </w:r>
    </w:p>
    <w:p w:rsidR="00791F70" w:rsidRDefault="00791F70" w:rsidP="0082673C">
      <w:pPr>
        <w:jc w:val="both"/>
        <w:rPr>
          <w:rFonts w:ascii="Times New Roman" w:hAnsi="Times New Roman" w:cs="Times New Roman"/>
          <w:sz w:val="24"/>
          <w:szCs w:val="24"/>
        </w:rPr>
      </w:pPr>
      <w:r>
        <w:rPr>
          <w:rFonts w:ascii="Times New Roman" w:hAnsi="Times New Roman" w:cs="Times New Roman"/>
          <w:sz w:val="24"/>
          <w:szCs w:val="24"/>
        </w:rPr>
        <w:t>Članice strokovnega aktiva predavateljev pri oblikovanju, vsebini, predvideni</w:t>
      </w:r>
      <w:r w:rsidR="000952F7">
        <w:rPr>
          <w:rFonts w:ascii="Times New Roman" w:hAnsi="Times New Roman" w:cs="Times New Roman"/>
          <w:sz w:val="24"/>
          <w:szCs w:val="24"/>
        </w:rPr>
        <w:t xml:space="preserve">h oziroma določenih </w:t>
      </w:r>
      <w:r w:rsidR="000952F7" w:rsidRPr="006E51CA">
        <w:rPr>
          <w:rFonts w:ascii="Times New Roman" w:hAnsi="Times New Roman" w:cs="Times New Roman"/>
          <w:sz w:val="24"/>
          <w:szCs w:val="24"/>
          <w:u w:val="single"/>
        </w:rPr>
        <w:t>obveznih in drugih načinih</w:t>
      </w:r>
      <w:r w:rsidRPr="006E51CA">
        <w:rPr>
          <w:rFonts w:ascii="Times New Roman" w:hAnsi="Times New Roman" w:cs="Times New Roman"/>
          <w:sz w:val="24"/>
          <w:szCs w:val="24"/>
          <w:u w:val="single"/>
        </w:rPr>
        <w:t xml:space="preserve"> ocenjevanja znanja študentov pri posameznem predmetu prvenstveno upoštevajo določila kataloga znanj</w:t>
      </w:r>
      <w:r>
        <w:rPr>
          <w:rFonts w:ascii="Times New Roman" w:hAnsi="Times New Roman" w:cs="Times New Roman"/>
          <w:sz w:val="24"/>
          <w:szCs w:val="24"/>
        </w:rPr>
        <w:t xml:space="preserve"> v študijskem programu Ekonomist</w:t>
      </w:r>
      <w:r w:rsidR="000952F7">
        <w:rPr>
          <w:rFonts w:ascii="Times New Roman" w:hAnsi="Times New Roman" w:cs="Times New Roman"/>
          <w:sz w:val="24"/>
          <w:szCs w:val="24"/>
        </w:rPr>
        <w:t xml:space="preserve"> ter </w:t>
      </w:r>
      <w:r w:rsidR="000952F7">
        <w:rPr>
          <w:rFonts w:ascii="Times New Roman" w:hAnsi="Times New Roman" w:cs="Times New Roman"/>
          <w:sz w:val="24"/>
          <w:szCs w:val="24"/>
        </w:rPr>
        <w:lastRenderedPageBreak/>
        <w:t>upoštevajo ustrezno zakonodajo</w:t>
      </w:r>
      <w:r>
        <w:rPr>
          <w:rFonts w:ascii="Times New Roman" w:hAnsi="Times New Roman" w:cs="Times New Roman"/>
          <w:sz w:val="24"/>
          <w:szCs w:val="24"/>
        </w:rPr>
        <w:t xml:space="preserve">. Z merili in kriteriji </w:t>
      </w:r>
      <w:r w:rsidR="004D6138">
        <w:rPr>
          <w:rFonts w:ascii="Times New Roman" w:hAnsi="Times New Roman" w:cs="Times New Roman"/>
          <w:sz w:val="24"/>
          <w:szCs w:val="24"/>
        </w:rPr>
        <w:t xml:space="preserve">vrednotenja in </w:t>
      </w:r>
      <w:r>
        <w:rPr>
          <w:rFonts w:ascii="Times New Roman" w:hAnsi="Times New Roman" w:cs="Times New Roman"/>
          <w:sz w:val="24"/>
          <w:szCs w:val="24"/>
        </w:rPr>
        <w:t>ocenjevanja</w:t>
      </w:r>
      <w:r w:rsidR="004D6138">
        <w:rPr>
          <w:rFonts w:ascii="Times New Roman" w:hAnsi="Times New Roman" w:cs="Times New Roman"/>
          <w:sz w:val="24"/>
          <w:szCs w:val="24"/>
        </w:rPr>
        <w:t xml:space="preserve"> znanja ter</w:t>
      </w:r>
      <w:r>
        <w:rPr>
          <w:rFonts w:ascii="Times New Roman" w:hAnsi="Times New Roman" w:cs="Times New Roman"/>
          <w:sz w:val="24"/>
          <w:szCs w:val="24"/>
        </w:rPr>
        <w:t xml:space="preserve"> </w:t>
      </w:r>
      <w:r w:rsidRPr="006E51CA">
        <w:rPr>
          <w:rFonts w:ascii="Times New Roman" w:hAnsi="Times New Roman" w:cs="Times New Roman"/>
          <w:sz w:val="24"/>
          <w:szCs w:val="24"/>
          <w:u w:val="single"/>
        </w:rPr>
        <w:t>načrtovanimi načini in oblikami študente seznanijo na začetku študijskega</w:t>
      </w:r>
      <w:r>
        <w:rPr>
          <w:rFonts w:ascii="Times New Roman" w:hAnsi="Times New Roman" w:cs="Times New Roman"/>
          <w:sz w:val="24"/>
          <w:szCs w:val="24"/>
        </w:rPr>
        <w:t xml:space="preserve"> leta. </w:t>
      </w:r>
      <w:r w:rsidR="004D6138">
        <w:rPr>
          <w:rFonts w:ascii="Times New Roman" w:hAnsi="Times New Roman" w:cs="Times New Roman"/>
          <w:sz w:val="24"/>
          <w:szCs w:val="24"/>
        </w:rPr>
        <w:t xml:space="preserve">Večina članic ima </w:t>
      </w:r>
      <w:r w:rsidR="004D6138" w:rsidRPr="006E51CA">
        <w:rPr>
          <w:rFonts w:ascii="Times New Roman" w:hAnsi="Times New Roman" w:cs="Times New Roman"/>
          <w:sz w:val="24"/>
          <w:szCs w:val="24"/>
          <w:u w:val="single"/>
        </w:rPr>
        <w:t>60 % prag za oceno zadostno (6).</w:t>
      </w:r>
      <w:r w:rsidR="004D6138">
        <w:rPr>
          <w:rFonts w:ascii="Times New Roman" w:hAnsi="Times New Roman" w:cs="Times New Roman"/>
          <w:sz w:val="24"/>
          <w:szCs w:val="24"/>
        </w:rPr>
        <w:t xml:space="preserve"> Pri predmetih, kjer je predvideno obvezno ocenjevanje projektnih nalog in pisnega izpita imajo članice aktiva predavateljev postavljena različna razmerja (60 : 40, 50 : 50 itd.), </w:t>
      </w:r>
      <w:r w:rsidR="00653054">
        <w:rPr>
          <w:rFonts w:ascii="Times New Roman" w:hAnsi="Times New Roman" w:cs="Times New Roman"/>
          <w:sz w:val="24"/>
          <w:szCs w:val="24"/>
        </w:rPr>
        <w:t>projektne naloge (50 : 50</w:t>
      </w:r>
      <w:r w:rsidR="00653054" w:rsidRPr="006E51CA">
        <w:rPr>
          <w:rFonts w:ascii="Times New Roman" w:hAnsi="Times New Roman" w:cs="Times New Roman"/>
          <w:sz w:val="24"/>
          <w:szCs w:val="24"/>
          <w:u w:val="single"/>
        </w:rPr>
        <w:t xml:space="preserve">), </w:t>
      </w:r>
      <w:r w:rsidR="004D6138" w:rsidRPr="006E51CA">
        <w:rPr>
          <w:rFonts w:ascii="Times New Roman" w:hAnsi="Times New Roman" w:cs="Times New Roman"/>
          <w:sz w:val="24"/>
          <w:szCs w:val="24"/>
          <w:u w:val="single"/>
        </w:rPr>
        <w:t>razmerje med praktičnimi nalogami na vajah in teoretičnim izpitom</w:t>
      </w:r>
      <w:r w:rsidR="00653054" w:rsidRPr="006E51CA">
        <w:rPr>
          <w:rFonts w:ascii="Times New Roman" w:hAnsi="Times New Roman" w:cs="Times New Roman"/>
          <w:sz w:val="24"/>
          <w:szCs w:val="24"/>
          <w:u w:val="single"/>
        </w:rPr>
        <w:t xml:space="preserve"> 40 : 60 itd. </w:t>
      </w:r>
    </w:p>
    <w:p w:rsidR="000952F7" w:rsidRDefault="000952F7" w:rsidP="0082673C">
      <w:pPr>
        <w:jc w:val="both"/>
        <w:rPr>
          <w:rFonts w:ascii="Times New Roman" w:hAnsi="Times New Roman" w:cs="Times New Roman"/>
          <w:sz w:val="24"/>
          <w:szCs w:val="24"/>
        </w:rPr>
      </w:pPr>
    </w:p>
    <w:p w:rsidR="00653054" w:rsidRDefault="00653054" w:rsidP="0082673C">
      <w:pPr>
        <w:jc w:val="both"/>
        <w:rPr>
          <w:rFonts w:ascii="Times New Roman" w:hAnsi="Times New Roman" w:cs="Times New Roman"/>
          <w:b/>
          <w:sz w:val="24"/>
          <w:szCs w:val="24"/>
        </w:rPr>
      </w:pPr>
      <w:r>
        <w:rPr>
          <w:rFonts w:ascii="Times New Roman" w:hAnsi="Times New Roman" w:cs="Times New Roman"/>
          <w:b/>
          <w:sz w:val="24"/>
          <w:szCs w:val="24"/>
        </w:rPr>
        <w:t>K tč. 6</w:t>
      </w:r>
    </w:p>
    <w:p w:rsidR="00653054" w:rsidRDefault="00653054" w:rsidP="0082673C">
      <w:pPr>
        <w:jc w:val="both"/>
        <w:rPr>
          <w:rFonts w:ascii="Times New Roman" w:hAnsi="Times New Roman" w:cs="Times New Roman"/>
          <w:sz w:val="24"/>
          <w:szCs w:val="24"/>
        </w:rPr>
      </w:pPr>
      <w:r>
        <w:rPr>
          <w:rFonts w:ascii="Times New Roman" w:hAnsi="Times New Roman" w:cs="Times New Roman"/>
          <w:sz w:val="24"/>
          <w:szCs w:val="24"/>
        </w:rPr>
        <w:t>Članice strokovnega aktiva predavateljev se pri delu srečujejo z različnimi projektnimi nalogami. Nekatere projektne naloge so za študente obvez</w:t>
      </w:r>
      <w:r w:rsidR="000952F7">
        <w:rPr>
          <w:rFonts w:ascii="Times New Roman" w:hAnsi="Times New Roman" w:cs="Times New Roman"/>
          <w:sz w:val="24"/>
          <w:szCs w:val="24"/>
        </w:rPr>
        <w:t>en način</w:t>
      </w:r>
      <w:r>
        <w:rPr>
          <w:rFonts w:ascii="Times New Roman" w:hAnsi="Times New Roman" w:cs="Times New Roman"/>
          <w:sz w:val="24"/>
          <w:szCs w:val="24"/>
        </w:rPr>
        <w:t xml:space="preserve"> ocenjevanja znanja (na primer: poslovni načrti), posamezne projektne naloge so obvezni del ocene pri predmetu (na primer pri praktičnem izobraževanju), kjer naloge študentje izdelujejo pod mentorstvom mentorja pri delodajalcu in mentorja predavatelja pri posameznem predmetu, posamezne projektne naloge se izdelujejo, ker so pogoj za udeležbo študentov na turistični tržnici, posamezne </w:t>
      </w:r>
      <w:r w:rsidRPr="006E51CA">
        <w:rPr>
          <w:rFonts w:ascii="Times New Roman" w:hAnsi="Times New Roman" w:cs="Times New Roman"/>
          <w:sz w:val="24"/>
          <w:szCs w:val="24"/>
          <w:u w:val="single"/>
        </w:rPr>
        <w:t>projektne naloge so obvezni del nalog, ki jih zahteva predavatelj na vajah</w:t>
      </w:r>
      <w:r>
        <w:rPr>
          <w:rFonts w:ascii="Times New Roman" w:hAnsi="Times New Roman" w:cs="Times New Roman"/>
          <w:sz w:val="24"/>
          <w:szCs w:val="24"/>
        </w:rPr>
        <w:t xml:space="preserve">, posamezne projektne naloge študentje izdelujejo za znane naročnike (podjetja, ki naročijo tržno raziskavo, predhodno pa predavatelj z njimi naveže stike), prav tako projektne naloge izdelujejo, kadar se prijavljajo na tekmovanja. </w:t>
      </w:r>
    </w:p>
    <w:p w:rsidR="00653054" w:rsidRDefault="00653054" w:rsidP="0082673C">
      <w:pPr>
        <w:jc w:val="both"/>
        <w:rPr>
          <w:rFonts w:ascii="Times New Roman" w:hAnsi="Times New Roman" w:cs="Times New Roman"/>
          <w:sz w:val="24"/>
          <w:szCs w:val="24"/>
        </w:rPr>
      </w:pPr>
      <w:r>
        <w:rPr>
          <w:rFonts w:ascii="Times New Roman" w:hAnsi="Times New Roman" w:cs="Times New Roman"/>
          <w:sz w:val="24"/>
          <w:szCs w:val="24"/>
        </w:rPr>
        <w:t xml:space="preserve">Članice strokovnega aktiva predavateljev so pogosto tudi mentorice študentom </w:t>
      </w:r>
      <w:r w:rsidR="000952F7">
        <w:rPr>
          <w:rFonts w:ascii="Times New Roman" w:hAnsi="Times New Roman" w:cs="Times New Roman"/>
          <w:sz w:val="24"/>
          <w:szCs w:val="24"/>
        </w:rPr>
        <w:t xml:space="preserve">v šoli </w:t>
      </w:r>
      <w:r>
        <w:rPr>
          <w:rFonts w:ascii="Times New Roman" w:hAnsi="Times New Roman" w:cs="Times New Roman"/>
          <w:sz w:val="24"/>
          <w:szCs w:val="24"/>
        </w:rPr>
        <w:t xml:space="preserve">pri izdelavi diplomskih nalog. </w:t>
      </w:r>
      <w:r w:rsidR="003B3DD6">
        <w:rPr>
          <w:rFonts w:ascii="Times New Roman" w:hAnsi="Times New Roman" w:cs="Times New Roman"/>
          <w:sz w:val="24"/>
          <w:szCs w:val="24"/>
        </w:rPr>
        <w:t xml:space="preserve">Praksa večine strokovnih višjih šol je, da imajo teme diplomskih del vsi mentorji predavatelji </w:t>
      </w:r>
      <w:r w:rsidR="000952F7">
        <w:rPr>
          <w:rFonts w:ascii="Times New Roman" w:hAnsi="Times New Roman" w:cs="Times New Roman"/>
          <w:sz w:val="24"/>
          <w:szCs w:val="24"/>
        </w:rPr>
        <w:t xml:space="preserve">predhodno </w:t>
      </w:r>
      <w:r w:rsidR="003B3DD6">
        <w:rPr>
          <w:rFonts w:ascii="Times New Roman" w:hAnsi="Times New Roman" w:cs="Times New Roman"/>
          <w:sz w:val="24"/>
          <w:szCs w:val="24"/>
        </w:rPr>
        <w:t xml:space="preserve">objavljene na spletni strani šole ali v skupni spletni učilnici šole, </w:t>
      </w:r>
      <w:r w:rsidR="000952F7">
        <w:rPr>
          <w:rFonts w:ascii="Times New Roman" w:hAnsi="Times New Roman" w:cs="Times New Roman"/>
          <w:sz w:val="24"/>
          <w:szCs w:val="24"/>
        </w:rPr>
        <w:t xml:space="preserve">zbrane </w:t>
      </w:r>
      <w:r w:rsidR="003B3DD6">
        <w:rPr>
          <w:rFonts w:ascii="Times New Roman" w:hAnsi="Times New Roman" w:cs="Times New Roman"/>
          <w:sz w:val="24"/>
          <w:szCs w:val="24"/>
        </w:rPr>
        <w:t xml:space="preserve">skupaj na enem mestu. Študentje pa imajo tudi možnost izbire teme diplomske naloge tudi izven objavljenega seznama, po predhodnem dogovoru z mentorjem predavateljem. Na posameznih višješolskih inštitucijah imajo </w:t>
      </w:r>
      <w:r w:rsidR="003B3DD6" w:rsidRPr="006E51CA">
        <w:rPr>
          <w:rFonts w:ascii="Times New Roman" w:hAnsi="Times New Roman" w:cs="Times New Roman"/>
          <w:sz w:val="24"/>
          <w:szCs w:val="24"/>
          <w:u w:val="single"/>
        </w:rPr>
        <w:t>veliko diplomskih nalog predvsem pri predmetu trženje.</w:t>
      </w:r>
      <w:r w:rsidR="003B3DD6">
        <w:rPr>
          <w:rFonts w:ascii="Times New Roman" w:hAnsi="Times New Roman" w:cs="Times New Roman"/>
          <w:sz w:val="24"/>
          <w:szCs w:val="24"/>
        </w:rPr>
        <w:t xml:space="preserve"> </w:t>
      </w:r>
    </w:p>
    <w:p w:rsidR="003B3DD6" w:rsidRDefault="003B3DD6" w:rsidP="0082673C">
      <w:pPr>
        <w:jc w:val="both"/>
        <w:rPr>
          <w:rFonts w:ascii="Times New Roman" w:hAnsi="Times New Roman" w:cs="Times New Roman"/>
          <w:sz w:val="24"/>
          <w:szCs w:val="24"/>
        </w:rPr>
      </w:pPr>
    </w:p>
    <w:p w:rsidR="003B3DD6" w:rsidRDefault="003B3DD6" w:rsidP="0082673C">
      <w:pPr>
        <w:jc w:val="both"/>
        <w:rPr>
          <w:rFonts w:ascii="Times New Roman" w:hAnsi="Times New Roman" w:cs="Times New Roman"/>
          <w:b/>
          <w:sz w:val="24"/>
          <w:szCs w:val="24"/>
        </w:rPr>
      </w:pPr>
      <w:r>
        <w:rPr>
          <w:rFonts w:ascii="Times New Roman" w:hAnsi="Times New Roman" w:cs="Times New Roman"/>
          <w:b/>
          <w:sz w:val="24"/>
          <w:szCs w:val="24"/>
        </w:rPr>
        <w:t>K tč. 7</w:t>
      </w:r>
    </w:p>
    <w:p w:rsidR="0082673C" w:rsidRPr="00886393" w:rsidRDefault="003B3DD6" w:rsidP="0082673C">
      <w:pPr>
        <w:jc w:val="both"/>
        <w:rPr>
          <w:rFonts w:ascii="Times New Roman" w:hAnsi="Times New Roman" w:cs="Times New Roman"/>
          <w:sz w:val="24"/>
          <w:szCs w:val="24"/>
        </w:rPr>
      </w:pPr>
      <w:r>
        <w:rPr>
          <w:rFonts w:ascii="Times New Roman" w:hAnsi="Times New Roman" w:cs="Times New Roman"/>
          <w:sz w:val="24"/>
          <w:szCs w:val="24"/>
        </w:rPr>
        <w:t xml:space="preserve">Članice strokovnega aktiva predavateljev ugotavljajo, da so izkušnje predavateljev pri  predmetu praktično izobraževanje med višjimi strokovnimi šolami različne. Praviloma se pri predmetu praktično izobraževanje izdelajo seminarske naloge oziroma ponekod projektne naloge. Teme tovrstnih nalog razpišejo predavatelji (mentorji) pri posameznem predmetu. Pri tem pogosto upoštevajo pravilo, da si študentje lahko izbirajo teme pri tistih predmetih, ki jih v tekočem študijskem letu obiskujejo. Seveda pa so v korist študentov možna tudi odstopanja. Te </w:t>
      </w:r>
      <w:r w:rsidRPr="006E51CA">
        <w:rPr>
          <w:rFonts w:ascii="Times New Roman" w:hAnsi="Times New Roman" w:cs="Times New Roman"/>
          <w:sz w:val="24"/>
          <w:szCs w:val="24"/>
          <w:u w:val="single"/>
        </w:rPr>
        <w:t>projektne naloge morajo na izpitu iz predmeta praktično izobraževanje tudi u</w:t>
      </w:r>
      <w:r w:rsidR="00776533" w:rsidRPr="006E51CA">
        <w:rPr>
          <w:rFonts w:ascii="Times New Roman" w:hAnsi="Times New Roman" w:cs="Times New Roman"/>
          <w:sz w:val="24"/>
          <w:szCs w:val="24"/>
          <w:u w:val="single"/>
        </w:rPr>
        <w:t>stno predstaviti</w:t>
      </w:r>
      <w:r w:rsidR="00776533">
        <w:rPr>
          <w:rFonts w:ascii="Times New Roman" w:hAnsi="Times New Roman" w:cs="Times New Roman"/>
          <w:sz w:val="24"/>
          <w:szCs w:val="24"/>
        </w:rPr>
        <w:t xml:space="preserve"> in zagovarjati. Vendar pa se </w:t>
      </w:r>
      <w:r w:rsidR="00776533" w:rsidRPr="006E51CA">
        <w:rPr>
          <w:rFonts w:ascii="Times New Roman" w:hAnsi="Times New Roman" w:cs="Times New Roman"/>
          <w:sz w:val="24"/>
          <w:szCs w:val="24"/>
          <w:u w:val="single"/>
        </w:rPr>
        <w:t>na vseh šolah  pri predmetu praktično izobraževanje ne izdelujejo seminarske ali projektne naloge</w:t>
      </w:r>
      <w:r w:rsidR="00776533">
        <w:rPr>
          <w:rFonts w:ascii="Times New Roman" w:hAnsi="Times New Roman" w:cs="Times New Roman"/>
          <w:sz w:val="24"/>
          <w:szCs w:val="24"/>
        </w:rPr>
        <w:t xml:space="preserve">. </w:t>
      </w:r>
      <w:r w:rsidR="0082673C" w:rsidRPr="00886393">
        <w:rPr>
          <w:rFonts w:ascii="Times New Roman" w:hAnsi="Times New Roman" w:cs="Times New Roman"/>
          <w:sz w:val="24"/>
          <w:szCs w:val="24"/>
        </w:rPr>
        <w:t xml:space="preserve">Članice </w:t>
      </w:r>
      <w:r w:rsidR="0082673C">
        <w:rPr>
          <w:rFonts w:ascii="Times New Roman" w:hAnsi="Times New Roman" w:cs="Times New Roman"/>
          <w:sz w:val="24"/>
          <w:szCs w:val="24"/>
        </w:rPr>
        <w:t xml:space="preserve">strokovnega aktiva predavateljev ugotavljajo, da je praktično delo pri delodajalcu pomemben del izobraževanja v študijskem programu Ekonomist, študentje radi delajo v podjetjih, </w:t>
      </w:r>
      <w:r w:rsidR="0082673C" w:rsidRPr="006E51CA">
        <w:rPr>
          <w:rFonts w:ascii="Times New Roman" w:hAnsi="Times New Roman" w:cs="Times New Roman"/>
          <w:sz w:val="24"/>
          <w:szCs w:val="24"/>
          <w:u w:val="single"/>
        </w:rPr>
        <w:t>veliko med njimi pa tudi kasneje v podjetjih dobi zaposlitev</w:t>
      </w:r>
      <w:r w:rsidR="0082673C">
        <w:rPr>
          <w:rFonts w:ascii="Times New Roman" w:hAnsi="Times New Roman" w:cs="Times New Roman"/>
          <w:sz w:val="24"/>
          <w:szCs w:val="24"/>
        </w:rPr>
        <w:t xml:space="preserve"> ali delo. </w:t>
      </w:r>
    </w:p>
    <w:p w:rsidR="00776533" w:rsidRDefault="00776533" w:rsidP="0082673C">
      <w:pPr>
        <w:jc w:val="both"/>
        <w:rPr>
          <w:rFonts w:ascii="Times New Roman" w:hAnsi="Times New Roman" w:cs="Times New Roman"/>
          <w:b/>
          <w:sz w:val="24"/>
          <w:szCs w:val="24"/>
        </w:rPr>
      </w:pPr>
      <w:r>
        <w:rPr>
          <w:rFonts w:ascii="Times New Roman" w:hAnsi="Times New Roman" w:cs="Times New Roman"/>
          <w:b/>
          <w:sz w:val="24"/>
          <w:szCs w:val="24"/>
        </w:rPr>
        <w:lastRenderedPageBreak/>
        <w:t>K tč. 8</w:t>
      </w:r>
    </w:p>
    <w:p w:rsidR="00776533" w:rsidRDefault="00776533" w:rsidP="0082673C">
      <w:pPr>
        <w:jc w:val="both"/>
        <w:rPr>
          <w:rFonts w:ascii="Times New Roman" w:hAnsi="Times New Roman" w:cs="Times New Roman"/>
          <w:sz w:val="24"/>
          <w:szCs w:val="24"/>
        </w:rPr>
      </w:pPr>
      <w:r>
        <w:rPr>
          <w:rFonts w:ascii="Times New Roman" w:hAnsi="Times New Roman" w:cs="Times New Roman"/>
          <w:sz w:val="24"/>
          <w:szCs w:val="24"/>
        </w:rPr>
        <w:t xml:space="preserve">Članice strokovnega aktiva predavateljev imajo različne izkušnje z delom in sodelovanjem s študijsko komisijo na višji strokovni šoli. Poslovni procesi študijskih komisij so med šolami različno organizirani. Na </w:t>
      </w:r>
      <w:r w:rsidRPr="006E51CA">
        <w:rPr>
          <w:rFonts w:ascii="Times New Roman" w:hAnsi="Times New Roman" w:cs="Times New Roman"/>
          <w:sz w:val="24"/>
          <w:szCs w:val="24"/>
          <w:u w:val="single"/>
        </w:rPr>
        <w:t>posameznih šolah posamezne predmete</w:t>
      </w:r>
      <w:r w:rsidR="004E55AD" w:rsidRPr="006E51CA">
        <w:rPr>
          <w:rFonts w:ascii="Times New Roman" w:hAnsi="Times New Roman" w:cs="Times New Roman"/>
          <w:sz w:val="24"/>
          <w:szCs w:val="24"/>
          <w:u w:val="single"/>
        </w:rPr>
        <w:t xml:space="preserve">, na osnovi vlog študentov, </w:t>
      </w:r>
      <w:r w:rsidRPr="006E51CA">
        <w:rPr>
          <w:rFonts w:ascii="Times New Roman" w:hAnsi="Times New Roman" w:cs="Times New Roman"/>
          <w:sz w:val="24"/>
          <w:szCs w:val="24"/>
          <w:u w:val="single"/>
        </w:rPr>
        <w:t xml:space="preserve"> </w:t>
      </w:r>
      <w:r w:rsidR="004E55AD" w:rsidRPr="006E51CA">
        <w:rPr>
          <w:rFonts w:ascii="Times New Roman" w:hAnsi="Times New Roman" w:cs="Times New Roman"/>
          <w:sz w:val="24"/>
          <w:szCs w:val="24"/>
          <w:u w:val="single"/>
        </w:rPr>
        <w:t xml:space="preserve">najprej </w:t>
      </w:r>
      <w:r w:rsidRPr="006E51CA">
        <w:rPr>
          <w:rFonts w:ascii="Times New Roman" w:hAnsi="Times New Roman" w:cs="Times New Roman"/>
          <w:sz w:val="24"/>
          <w:szCs w:val="24"/>
          <w:u w:val="single"/>
        </w:rPr>
        <w:t xml:space="preserve">priznavajo predavatelji </w:t>
      </w:r>
      <w:r w:rsidR="004E55AD" w:rsidRPr="006E51CA">
        <w:rPr>
          <w:rFonts w:ascii="Times New Roman" w:hAnsi="Times New Roman" w:cs="Times New Roman"/>
          <w:sz w:val="24"/>
          <w:szCs w:val="24"/>
          <w:u w:val="single"/>
        </w:rPr>
        <w:t xml:space="preserve">predmeta </w:t>
      </w:r>
      <w:r w:rsidRPr="006E51CA">
        <w:rPr>
          <w:rFonts w:ascii="Times New Roman" w:hAnsi="Times New Roman" w:cs="Times New Roman"/>
          <w:sz w:val="24"/>
          <w:szCs w:val="24"/>
          <w:u w:val="single"/>
        </w:rPr>
        <w:t>in nato študijska komisija predlog predavatelja</w:t>
      </w:r>
      <w:r>
        <w:rPr>
          <w:rFonts w:ascii="Times New Roman" w:hAnsi="Times New Roman" w:cs="Times New Roman"/>
          <w:sz w:val="24"/>
          <w:szCs w:val="24"/>
        </w:rPr>
        <w:t xml:space="preserve"> pregleda </w:t>
      </w:r>
      <w:r w:rsidR="004E55AD">
        <w:rPr>
          <w:rFonts w:ascii="Times New Roman" w:hAnsi="Times New Roman" w:cs="Times New Roman"/>
          <w:sz w:val="24"/>
          <w:szCs w:val="24"/>
        </w:rPr>
        <w:t>ter</w:t>
      </w:r>
      <w:r>
        <w:rPr>
          <w:rFonts w:ascii="Times New Roman" w:hAnsi="Times New Roman" w:cs="Times New Roman"/>
          <w:sz w:val="24"/>
          <w:szCs w:val="24"/>
        </w:rPr>
        <w:t xml:space="preserve"> ga potrdi ali ne potrdi</w:t>
      </w:r>
      <w:r w:rsidR="004E55AD">
        <w:rPr>
          <w:rFonts w:ascii="Times New Roman" w:hAnsi="Times New Roman" w:cs="Times New Roman"/>
          <w:sz w:val="24"/>
          <w:szCs w:val="24"/>
        </w:rPr>
        <w:t xml:space="preserve"> in izda sklep</w:t>
      </w:r>
      <w:r>
        <w:rPr>
          <w:rFonts w:ascii="Times New Roman" w:hAnsi="Times New Roman" w:cs="Times New Roman"/>
          <w:sz w:val="24"/>
          <w:szCs w:val="24"/>
        </w:rPr>
        <w:t xml:space="preserve">. Na drugih šolah pa vso priznavanje v celoti </w:t>
      </w:r>
      <w:r w:rsidRPr="006E51CA">
        <w:rPr>
          <w:rFonts w:ascii="Times New Roman" w:hAnsi="Times New Roman" w:cs="Times New Roman"/>
          <w:sz w:val="24"/>
          <w:szCs w:val="24"/>
          <w:u w:val="single"/>
        </w:rPr>
        <w:t>samostojno in neodvisno opravlja študijska komisija</w:t>
      </w:r>
      <w:r>
        <w:rPr>
          <w:rFonts w:ascii="Times New Roman" w:hAnsi="Times New Roman" w:cs="Times New Roman"/>
          <w:sz w:val="24"/>
          <w:szCs w:val="24"/>
        </w:rPr>
        <w:t xml:space="preserve">, svoje odločitve pa objavi v skupni spletni učilnici. </w:t>
      </w:r>
      <w:r w:rsidRPr="006E51CA">
        <w:rPr>
          <w:rFonts w:ascii="Times New Roman" w:hAnsi="Times New Roman" w:cs="Times New Roman"/>
          <w:sz w:val="24"/>
          <w:szCs w:val="24"/>
          <w:u w:val="single"/>
        </w:rPr>
        <w:t>Pogostost srečanj študijskih komisij na šolah je različna (mesečno, dvomesečno</w:t>
      </w:r>
      <w:r>
        <w:rPr>
          <w:rFonts w:ascii="Times New Roman" w:hAnsi="Times New Roman" w:cs="Times New Roman"/>
          <w:sz w:val="24"/>
          <w:szCs w:val="24"/>
        </w:rPr>
        <w:t xml:space="preserve">, itd.). </w:t>
      </w:r>
    </w:p>
    <w:p w:rsidR="00776533" w:rsidRDefault="00776533" w:rsidP="0082673C">
      <w:pPr>
        <w:jc w:val="both"/>
        <w:rPr>
          <w:rFonts w:ascii="Times New Roman" w:hAnsi="Times New Roman" w:cs="Times New Roman"/>
          <w:sz w:val="24"/>
          <w:szCs w:val="24"/>
        </w:rPr>
      </w:pPr>
    </w:p>
    <w:p w:rsidR="00776533" w:rsidRDefault="00776533" w:rsidP="0082673C">
      <w:pPr>
        <w:jc w:val="both"/>
        <w:rPr>
          <w:rFonts w:ascii="Times New Roman" w:hAnsi="Times New Roman" w:cs="Times New Roman"/>
          <w:b/>
          <w:sz w:val="24"/>
          <w:szCs w:val="24"/>
        </w:rPr>
      </w:pPr>
      <w:r>
        <w:rPr>
          <w:rFonts w:ascii="Times New Roman" w:hAnsi="Times New Roman" w:cs="Times New Roman"/>
          <w:b/>
          <w:sz w:val="24"/>
          <w:szCs w:val="24"/>
        </w:rPr>
        <w:t>K tč. 9</w:t>
      </w:r>
    </w:p>
    <w:p w:rsidR="0082673C" w:rsidRDefault="00776533" w:rsidP="0082673C">
      <w:pPr>
        <w:jc w:val="both"/>
        <w:rPr>
          <w:rFonts w:ascii="Times New Roman" w:hAnsi="Times New Roman" w:cs="Times New Roman"/>
          <w:sz w:val="24"/>
          <w:szCs w:val="24"/>
        </w:rPr>
      </w:pPr>
      <w:r>
        <w:rPr>
          <w:rFonts w:ascii="Times New Roman" w:hAnsi="Times New Roman" w:cs="Times New Roman"/>
          <w:sz w:val="24"/>
          <w:szCs w:val="24"/>
        </w:rPr>
        <w:t xml:space="preserve">Članice strokovnega aktiva predavateljev ugotavljajo, da </w:t>
      </w:r>
      <w:bookmarkStart w:id="0" w:name="_GoBack"/>
      <w:r w:rsidRPr="006E51CA">
        <w:rPr>
          <w:rFonts w:ascii="Times New Roman" w:hAnsi="Times New Roman" w:cs="Times New Roman"/>
          <w:sz w:val="24"/>
          <w:szCs w:val="24"/>
          <w:u w:val="single"/>
        </w:rPr>
        <w:t>vpis študentov na posamezne strokovne višje šole upada.</w:t>
      </w:r>
      <w:bookmarkEnd w:id="0"/>
      <w:r>
        <w:rPr>
          <w:rFonts w:ascii="Times New Roman" w:hAnsi="Times New Roman" w:cs="Times New Roman"/>
          <w:sz w:val="24"/>
          <w:szCs w:val="24"/>
        </w:rPr>
        <w:t xml:space="preserve"> Posledično upada tudi vpis v izredni študij, saj skorajda ni več podjetij, ki bi svojim zaposlenim plačevala izobraževanje, tudi zavod za zaposlovanje tega več ne počne. Pogosto se združuje študente rednega in izrednega študija, tako na predavanjih kot tudi na vajah v popoldanskem času. </w:t>
      </w:r>
      <w:r w:rsidR="0082673C" w:rsidRPr="00886393">
        <w:rPr>
          <w:rFonts w:ascii="Times New Roman" w:hAnsi="Times New Roman" w:cs="Times New Roman"/>
          <w:sz w:val="24"/>
          <w:szCs w:val="24"/>
        </w:rPr>
        <w:t>Članice ugotavljajo, da so izredni študenti visoko motivirani in da radi delajo praktične naloge.</w:t>
      </w:r>
    </w:p>
    <w:p w:rsidR="0082673C" w:rsidRDefault="0082673C" w:rsidP="0082673C">
      <w:pPr>
        <w:jc w:val="both"/>
        <w:rPr>
          <w:rFonts w:ascii="Times New Roman" w:hAnsi="Times New Roman" w:cs="Times New Roman"/>
          <w:sz w:val="24"/>
          <w:szCs w:val="24"/>
        </w:rPr>
      </w:pPr>
    </w:p>
    <w:p w:rsidR="0082673C" w:rsidRDefault="0082673C" w:rsidP="0082673C">
      <w:pPr>
        <w:jc w:val="both"/>
        <w:rPr>
          <w:rFonts w:ascii="Times New Roman" w:hAnsi="Times New Roman" w:cs="Times New Roman"/>
          <w:sz w:val="24"/>
          <w:szCs w:val="24"/>
        </w:rPr>
      </w:pPr>
      <w:r>
        <w:rPr>
          <w:rFonts w:ascii="Times New Roman" w:hAnsi="Times New Roman" w:cs="Times New Roman"/>
          <w:sz w:val="24"/>
          <w:szCs w:val="24"/>
        </w:rPr>
        <w:t>Člani strokovnega aktiva predavateljev prodaje, trženja in podjetništva so srečanje nadaljevali na plenarnem delu do 13.30.</w:t>
      </w:r>
    </w:p>
    <w:p w:rsidR="004E55AD" w:rsidRDefault="004E55AD" w:rsidP="0082673C">
      <w:pPr>
        <w:jc w:val="both"/>
        <w:rPr>
          <w:rFonts w:ascii="Times New Roman" w:hAnsi="Times New Roman" w:cs="Times New Roman"/>
          <w:sz w:val="24"/>
          <w:szCs w:val="24"/>
        </w:rPr>
      </w:pPr>
    </w:p>
    <w:p w:rsidR="0082673C" w:rsidRDefault="0082673C" w:rsidP="0082673C">
      <w:pPr>
        <w:jc w:val="both"/>
        <w:rPr>
          <w:rFonts w:ascii="Times New Roman" w:hAnsi="Times New Roman" w:cs="Times New Roman"/>
          <w:sz w:val="24"/>
          <w:szCs w:val="24"/>
        </w:rPr>
      </w:pPr>
      <w:r>
        <w:rPr>
          <w:rFonts w:ascii="Times New Roman" w:hAnsi="Times New Roman" w:cs="Times New Roman"/>
          <w:sz w:val="24"/>
          <w:szCs w:val="24"/>
        </w:rPr>
        <w:t>Murska Sobota, 19. marec 2018</w:t>
      </w:r>
    </w:p>
    <w:p w:rsidR="0082673C" w:rsidRDefault="0082673C" w:rsidP="0082673C">
      <w:pPr>
        <w:jc w:val="both"/>
        <w:rPr>
          <w:rFonts w:ascii="Times New Roman" w:hAnsi="Times New Roman" w:cs="Times New Roman"/>
          <w:sz w:val="24"/>
          <w:szCs w:val="24"/>
        </w:rPr>
      </w:pPr>
    </w:p>
    <w:p w:rsidR="0082673C" w:rsidRDefault="0082673C" w:rsidP="0082673C">
      <w:pPr>
        <w:jc w:val="both"/>
        <w:rPr>
          <w:rFonts w:ascii="Times New Roman" w:hAnsi="Times New Roman" w:cs="Times New Roman"/>
          <w:sz w:val="24"/>
          <w:szCs w:val="24"/>
        </w:rPr>
      </w:pPr>
      <w:r>
        <w:rPr>
          <w:rFonts w:ascii="Times New Roman" w:hAnsi="Times New Roman" w:cs="Times New Roman"/>
          <w:sz w:val="24"/>
          <w:szCs w:val="24"/>
        </w:rPr>
        <w:t xml:space="preserve">Zapis pripravila: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673C" w:rsidRDefault="0082673C" w:rsidP="0082673C">
      <w:pPr>
        <w:jc w:val="both"/>
        <w:rPr>
          <w:rFonts w:ascii="Times New Roman" w:hAnsi="Times New Roman" w:cs="Times New Roman"/>
          <w:sz w:val="24"/>
          <w:szCs w:val="24"/>
        </w:rPr>
      </w:pPr>
      <w:r>
        <w:rPr>
          <w:rFonts w:ascii="Times New Roman" w:hAnsi="Times New Roman" w:cs="Times New Roman"/>
          <w:sz w:val="24"/>
          <w:szCs w:val="24"/>
        </w:rPr>
        <w:t xml:space="preserve">mag. </w:t>
      </w:r>
      <w:proofErr w:type="spellStart"/>
      <w:r>
        <w:rPr>
          <w:rFonts w:ascii="Times New Roman" w:hAnsi="Times New Roman" w:cs="Times New Roman"/>
          <w:sz w:val="24"/>
          <w:szCs w:val="24"/>
        </w:rPr>
        <w:t>Betina</w:t>
      </w:r>
      <w:proofErr w:type="spellEnd"/>
      <w:r>
        <w:rPr>
          <w:rFonts w:ascii="Times New Roman" w:hAnsi="Times New Roman" w:cs="Times New Roman"/>
          <w:sz w:val="24"/>
          <w:szCs w:val="24"/>
        </w:rPr>
        <w:t xml:space="preserve"> Podgajski</w:t>
      </w:r>
    </w:p>
    <w:p w:rsidR="0082673C" w:rsidRDefault="0082673C" w:rsidP="0082673C">
      <w:pPr>
        <w:jc w:val="both"/>
        <w:rPr>
          <w:rFonts w:ascii="Times New Roman" w:hAnsi="Times New Roman" w:cs="Times New Roman"/>
          <w:sz w:val="24"/>
          <w:szCs w:val="24"/>
        </w:rPr>
      </w:pPr>
    </w:p>
    <w:p w:rsidR="0082673C" w:rsidRDefault="004E55AD" w:rsidP="0082673C">
      <w:pPr>
        <w:jc w:val="both"/>
        <w:rPr>
          <w:rFonts w:ascii="Times New Roman" w:hAnsi="Times New Roman" w:cs="Times New Roman"/>
          <w:sz w:val="24"/>
          <w:szCs w:val="24"/>
        </w:rPr>
      </w:pPr>
      <w:r>
        <w:rPr>
          <w:rFonts w:ascii="Times New Roman" w:hAnsi="Times New Roman" w:cs="Times New Roman"/>
          <w:sz w:val="24"/>
          <w:szCs w:val="24"/>
        </w:rPr>
        <w:t xml:space="preserve">                                         </w:t>
      </w:r>
      <w:r w:rsidR="0082673C">
        <w:rPr>
          <w:rFonts w:ascii="Times New Roman" w:hAnsi="Times New Roman" w:cs="Times New Roman"/>
          <w:sz w:val="24"/>
          <w:szCs w:val="24"/>
        </w:rPr>
        <w:t>Strokovni aktiv predavateljev prodaje, trženja in podjetništva vodila</w:t>
      </w:r>
    </w:p>
    <w:p w:rsidR="0082673C" w:rsidRDefault="0082673C" w:rsidP="0082673C">
      <w:pPr>
        <w:jc w:val="both"/>
        <w:rPr>
          <w:rFonts w:ascii="Times New Roman" w:hAnsi="Times New Roman" w:cs="Times New Roman"/>
          <w:sz w:val="24"/>
          <w:szCs w:val="24"/>
        </w:rPr>
      </w:pPr>
      <w:r>
        <w:rPr>
          <w:rFonts w:ascii="Times New Roman" w:hAnsi="Times New Roman" w:cs="Times New Roman"/>
          <w:sz w:val="24"/>
          <w:szCs w:val="24"/>
        </w:rPr>
        <w:t xml:space="preserve">                                                       mag. </w:t>
      </w:r>
      <w:proofErr w:type="spellStart"/>
      <w:r>
        <w:rPr>
          <w:rFonts w:ascii="Times New Roman" w:hAnsi="Times New Roman" w:cs="Times New Roman"/>
          <w:sz w:val="24"/>
          <w:szCs w:val="24"/>
        </w:rPr>
        <w:t>Betina</w:t>
      </w:r>
      <w:proofErr w:type="spellEnd"/>
      <w:r>
        <w:rPr>
          <w:rFonts w:ascii="Times New Roman" w:hAnsi="Times New Roman" w:cs="Times New Roman"/>
          <w:sz w:val="24"/>
          <w:szCs w:val="24"/>
        </w:rPr>
        <w:t xml:space="preserve"> Podgajski, </w:t>
      </w:r>
      <w:proofErr w:type="spellStart"/>
      <w:r>
        <w:rPr>
          <w:rFonts w:ascii="Times New Roman" w:hAnsi="Times New Roman" w:cs="Times New Roman"/>
          <w:sz w:val="24"/>
          <w:szCs w:val="24"/>
        </w:rPr>
        <w:t>dav</w:t>
      </w:r>
      <w:proofErr w:type="spellEnd"/>
      <w:r>
        <w:rPr>
          <w:rFonts w:ascii="Times New Roman" w:hAnsi="Times New Roman" w:cs="Times New Roman"/>
          <w:sz w:val="24"/>
          <w:szCs w:val="24"/>
        </w:rPr>
        <w:t xml:space="preserve">. prav.; univ. dipl. ekon. </w:t>
      </w:r>
    </w:p>
    <w:p w:rsidR="00215D23" w:rsidRDefault="00215D23" w:rsidP="0082673C">
      <w:pPr>
        <w:jc w:val="both"/>
        <w:rPr>
          <w:rFonts w:ascii="Times New Roman" w:hAnsi="Times New Roman" w:cs="Times New Roman"/>
          <w:sz w:val="24"/>
          <w:szCs w:val="24"/>
        </w:rPr>
      </w:pPr>
    </w:p>
    <w:p w:rsidR="00215D23" w:rsidRDefault="00215D23" w:rsidP="0082673C">
      <w:pPr>
        <w:jc w:val="both"/>
        <w:rPr>
          <w:rFonts w:ascii="Times New Roman" w:hAnsi="Times New Roman" w:cs="Times New Roman"/>
          <w:sz w:val="24"/>
          <w:szCs w:val="24"/>
        </w:rPr>
      </w:pPr>
    </w:p>
    <w:p w:rsidR="00215D23" w:rsidRDefault="00215D23" w:rsidP="0082673C">
      <w:pPr>
        <w:jc w:val="both"/>
        <w:rPr>
          <w:rFonts w:ascii="Times New Roman" w:hAnsi="Times New Roman" w:cs="Times New Roman"/>
          <w:sz w:val="24"/>
          <w:szCs w:val="24"/>
        </w:rPr>
      </w:pPr>
    </w:p>
    <w:p w:rsidR="00215D23" w:rsidRDefault="00215D23" w:rsidP="0082673C">
      <w:pPr>
        <w:jc w:val="both"/>
        <w:rPr>
          <w:rFonts w:ascii="Times New Roman" w:hAnsi="Times New Roman" w:cs="Times New Roman"/>
          <w:sz w:val="24"/>
          <w:szCs w:val="24"/>
        </w:rPr>
      </w:pPr>
    </w:p>
    <w:p w:rsidR="00215D23" w:rsidRDefault="00215D23" w:rsidP="00215D23">
      <w:pPr>
        <w:rPr>
          <w:b/>
        </w:rPr>
      </w:pPr>
      <w:r>
        <w:rPr>
          <w:b/>
        </w:rPr>
        <w:t>Zapis o poteku strokovnega aktiva VSŠ – 15.3.2018</w:t>
      </w:r>
    </w:p>
    <w:p w:rsidR="00215D23" w:rsidRDefault="00215D23" w:rsidP="00215D23">
      <w:r>
        <w:lastRenderedPageBreak/>
        <w:t xml:space="preserve">Strokovni aktiv: </w:t>
      </w:r>
      <w:r w:rsidRPr="00215D23">
        <w:rPr>
          <w:highlight w:val="yellow"/>
        </w:rPr>
        <w:t>EKT – UZK, OPP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974"/>
        <w:gridCol w:w="6284"/>
      </w:tblGrid>
      <w:tr w:rsidR="00215D23" w:rsidTr="00215D23">
        <w:tc>
          <w:tcPr>
            <w:tcW w:w="817"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Z. št.</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Referenti po aktivih</w:t>
            </w:r>
          </w:p>
        </w:tc>
        <w:tc>
          <w:tcPr>
            <w:tcW w:w="6410"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Sklepi, pobude, predlogi</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1.</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Dosedanje delo</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3"/>
              </w:numPr>
              <w:spacing w:after="0" w:line="240" w:lineRule="auto"/>
            </w:pPr>
            <w:r>
              <w:t>Delo v skladu s cilji predmeta in učnim načrtom.</w:t>
            </w:r>
          </w:p>
          <w:p w:rsidR="00215D23" w:rsidRDefault="00215D23" w:rsidP="00215D23">
            <w:pPr>
              <w:numPr>
                <w:ilvl w:val="0"/>
                <w:numId w:val="3"/>
              </w:numPr>
              <w:spacing w:after="0" w:line="240" w:lineRule="auto"/>
            </w:pPr>
            <w:r>
              <w:t>Največ 50 % skupine končne ocene lahko študent pridobi z izdelki (projektne naloge, delne naloge, …) na vajah.</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 xml:space="preserve">2. </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Metode dela</w:t>
            </w:r>
          </w:p>
          <w:p w:rsidR="00215D23" w:rsidRDefault="00215D23"/>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3"/>
              </w:numPr>
              <w:spacing w:after="0" w:line="240" w:lineRule="auto"/>
            </w:pPr>
            <w:r>
              <w:t>Strokovne ekskurzije</w:t>
            </w:r>
          </w:p>
          <w:p w:rsidR="00215D23" w:rsidRDefault="00215D23" w:rsidP="00215D23">
            <w:pPr>
              <w:numPr>
                <w:ilvl w:val="0"/>
                <w:numId w:val="3"/>
              </w:numPr>
              <w:spacing w:after="0" w:line="240" w:lineRule="auto"/>
            </w:pPr>
            <w:r>
              <w:t>Obiski in predavanja strokovnjakov</w:t>
            </w:r>
          </w:p>
          <w:p w:rsidR="00215D23" w:rsidRDefault="00215D23" w:rsidP="00215D23">
            <w:pPr>
              <w:numPr>
                <w:ilvl w:val="0"/>
                <w:numId w:val="3"/>
              </w:numPr>
              <w:spacing w:after="0" w:line="240" w:lineRule="auto"/>
            </w:pPr>
            <w:r>
              <w:t>Timsko/skupinsko delo</w:t>
            </w:r>
          </w:p>
          <w:p w:rsidR="00215D23" w:rsidRDefault="00215D23" w:rsidP="00215D23">
            <w:pPr>
              <w:numPr>
                <w:ilvl w:val="0"/>
                <w:numId w:val="3"/>
              </w:numPr>
              <w:spacing w:after="0" w:line="240" w:lineRule="auto"/>
            </w:pPr>
            <w:r>
              <w:t>vaje</w:t>
            </w:r>
          </w:p>
          <w:p w:rsidR="00215D23" w:rsidRDefault="00215D23" w:rsidP="00215D23">
            <w:pPr>
              <w:numPr>
                <w:ilvl w:val="0"/>
                <w:numId w:val="3"/>
              </w:numPr>
              <w:spacing w:after="0" w:line="240" w:lineRule="auto"/>
            </w:pPr>
            <w:r>
              <w:t>čim več prikaza na praktičnih primerih</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3.</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Medpredmetno povezovanje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primerno povezovanje z informatiko, trženjem, ekonomijo, …</w:t>
            </w:r>
          </w:p>
          <w:p w:rsidR="00215D23" w:rsidRDefault="00215D23" w:rsidP="00215D23">
            <w:pPr>
              <w:numPr>
                <w:ilvl w:val="0"/>
                <w:numId w:val="4"/>
              </w:numPr>
              <w:spacing w:after="0" w:line="240" w:lineRule="auto"/>
            </w:pPr>
            <w:r>
              <w:t>priporočljivo tudi v bodoče</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 xml:space="preserve">4. </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Posebnosti pri izrednih študentih</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Poznajo prakso, zato lažje usvojijo snov.</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5.</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Študijska gradiva</w:t>
            </w:r>
          </w:p>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5"/>
              </w:numPr>
              <w:spacing w:after="0" w:line="240" w:lineRule="auto"/>
            </w:pPr>
            <w:r>
              <w:t>Gradiva IMLETUM so izhodišče.</w:t>
            </w:r>
          </w:p>
          <w:p w:rsidR="00215D23" w:rsidRDefault="00215D23" w:rsidP="00215D23">
            <w:pPr>
              <w:numPr>
                <w:ilvl w:val="0"/>
                <w:numId w:val="5"/>
              </w:numPr>
              <w:spacing w:after="0" w:line="240" w:lineRule="auto"/>
            </w:pPr>
            <w:r>
              <w:t>Nadgradnja gradiva z nalaganjem gradiv, ki pomeni aktualizacijo vsebin in gradiv v spletno učilnico.</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6.</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Priznavanje znanj</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 xml:space="preserve">Priznavanje opravi Študijska komisija. </w:t>
            </w:r>
          </w:p>
          <w:p w:rsidR="00215D23" w:rsidRDefault="00215D23" w:rsidP="00215D23">
            <w:pPr>
              <w:numPr>
                <w:ilvl w:val="0"/>
                <w:numId w:val="4"/>
              </w:numPr>
              <w:spacing w:after="0" w:line="240" w:lineRule="auto"/>
            </w:pPr>
            <w:r>
              <w:t>Možnost delnega priznavanja v okviru dela za KT:</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7.</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Izpitne naloge</w:t>
            </w:r>
          </w:p>
          <w:p w:rsidR="00215D23" w:rsidRDefault="00215D23"/>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6"/>
              </w:numPr>
              <w:spacing w:after="0" w:line="240" w:lineRule="auto"/>
            </w:pPr>
            <w:r>
              <w:t>UZK – pisni, ustni izpit</w:t>
            </w:r>
          </w:p>
          <w:p w:rsidR="00215D23" w:rsidRDefault="00215D23" w:rsidP="00215D23">
            <w:pPr>
              <w:numPr>
                <w:ilvl w:val="0"/>
                <w:numId w:val="6"/>
              </w:numPr>
              <w:spacing w:after="0" w:line="240" w:lineRule="auto"/>
            </w:pPr>
            <w:r>
              <w:t>OPP pisni izpit.</w:t>
            </w:r>
          </w:p>
          <w:p w:rsidR="00215D23" w:rsidRDefault="00215D23" w:rsidP="00215D23">
            <w:pPr>
              <w:numPr>
                <w:ilvl w:val="0"/>
                <w:numId w:val="6"/>
              </w:numPr>
              <w:spacing w:after="0" w:line="240" w:lineRule="auto"/>
            </w:pPr>
            <w:r>
              <w:t>Kriterij ocenjevanje je poenoten:</w:t>
            </w:r>
          </w:p>
          <w:p w:rsidR="00215D23" w:rsidRDefault="00215D23" w:rsidP="00215D23">
            <w:pPr>
              <w:numPr>
                <w:ilvl w:val="1"/>
                <w:numId w:val="6"/>
              </w:numPr>
              <w:spacing w:after="0" w:line="240" w:lineRule="auto"/>
            </w:pPr>
            <w:r>
              <w:t xml:space="preserve">50 % – 59 %  </w:t>
            </w:r>
            <w:proofErr w:type="spellStart"/>
            <w:r>
              <w:t>zd</w:t>
            </w:r>
            <w:proofErr w:type="spellEnd"/>
            <w:r>
              <w:t xml:space="preserve"> (6)</w:t>
            </w:r>
          </w:p>
          <w:p w:rsidR="00215D23" w:rsidRDefault="00215D23" w:rsidP="00215D23">
            <w:pPr>
              <w:numPr>
                <w:ilvl w:val="1"/>
                <w:numId w:val="6"/>
              </w:numPr>
              <w:spacing w:after="0" w:line="240" w:lineRule="auto"/>
            </w:pPr>
            <w:r>
              <w:t xml:space="preserve">60 % - 69 %  </w:t>
            </w:r>
            <w:proofErr w:type="spellStart"/>
            <w:r>
              <w:t>dr</w:t>
            </w:r>
            <w:proofErr w:type="spellEnd"/>
            <w:r>
              <w:t>(7), itd.</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8.</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Projektne in diplomske naloge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7"/>
              </w:numPr>
              <w:spacing w:after="0" w:line="240" w:lineRule="auto"/>
            </w:pPr>
            <w:r>
              <w:t>Več diplom pri UZK kot pri OPP.</w:t>
            </w:r>
          </w:p>
          <w:p w:rsidR="00215D23" w:rsidRDefault="00215D23" w:rsidP="00215D23">
            <w:pPr>
              <w:numPr>
                <w:ilvl w:val="0"/>
                <w:numId w:val="7"/>
              </w:numPr>
              <w:spacing w:after="0" w:line="240" w:lineRule="auto"/>
            </w:pPr>
            <w:r>
              <w:t>Spodbuda študentov, da temo z navedenih področij izberejo, če želijo na tem področju zaposlitev.</w:t>
            </w:r>
          </w:p>
        </w:tc>
      </w:tr>
      <w:tr w:rsidR="00215D23" w:rsidTr="00215D23">
        <w:tc>
          <w:tcPr>
            <w:tcW w:w="817" w:type="dxa"/>
            <w:tcBorders>
              <w:top w:val="single" w:sz="4" w:space="0" w:color="auto"/>
              <w:left w:val="single" w:sz="4" w:space="0" w:color="auto"/>
              <w:bottom w:val="single" w:sz="4" w:space="0" w:color="auto"/>
              <w:right w:val="single" w:sz="4" w:space="0" w:color="auto"/>
            </w:tcBorders>
          </w:tcPr>
          <w:p w:rsidR="00215D23" w:rsidRDefault="00215D23">
            <w:r>
              <w:t>9.</w:t>
            </w:r>
          </w:p>
          <w:p w:rsidR="00215D23" w:rsidRDefault="00215D23"/>
        </w:tc>
        <w:tc>
          <w:tcPr>
            <w:tcW w:w="1985" w:type="dxa"/>
            <w:tcBorders>
              <w:top w:val="single" w:sz="4" w:space="0" w:color="auto"/>
              <w:left w:val="single" w:sz="4" w:space="0" w:color="auto"/>
              <w:bottom w:val="single" w:sz="4" w:space="0" w:color="auto"/>
              <w:right w:val="single" w:sz="4" w:space="0" w:color="auto"/>
            </w:tcBorders>
            <w:hideMark/>
          </w:tcPr>
          <w:p w:rsidR="00215D23" w:rsidRDefault="00215D23">
            <w:r>
              <w:t>Praktično izobraževanje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
              <w:t xml:space="preserve">        /</w:t>
            </w:r>
          </w:p>
        </w:tc>
      </w:tr>
    </w:tbl>
    <w:p w:rsidR="00215D23" w:rsidRDefault="00215D23" w:rsidP="00215D23">
      <w:r>
        <w:t>Prisotnost v aktivu __PRI:</w:t>
      </w:r>
      <w:r>
        <w:tab/>
      </w:r>
      <w:r>
        <w:tab/>
        <w:t xml:space="preserve">dr. Anton </w:t>
      </w:r>
      <w:proofErr w:type="spellStart"/>
      <w:r>
        <w:t>Vorina</w:t>
      </w:r>
      <w:proofErr w:type="spellEnd"/>
      <w:r>
        <w:t xml:space="preserve"> CE </w:t>
      </w:r>
    </w:p>
    <w:p w:rsidR="00215D23" w:rsidRDefault="00215D23" w:rsidP="00215D23">
      <w:r>
        <w:tab/>
      </w:r>
      <w:r>
        <w:tab/>
      </w:r>
      <w:r>
        <w:tab/>
      </w:r>
      <w:r>
        <w:tab/>
      </w:r>
      <w:r>
        <w:tab/>
        <w:t>Karmen Grudnik SG</w:t>
      </w:r>
    </w:p>
    <w:p w:rsidR="00215D23" w:rsidRDefault="00215D23" w:rsidP="00215D23">
      <w:r>
        <w:tab/>
      </w:r>
      <w:r>
        <w:tab/>
      </w:r>
      <w:r>
        <w:tab/>
      </w:r>
      <w:r>
        <w:tab/>
      </w:r>
      <w:r>
        <w:tab/>
      </w:r>
      <w:r>
        <w:tab/>
      </w:r>
      <w:r>
        <w:tab/>
      </w:r>
    </w:p>
    <w:p w:rsidR="00215D23" w:rsidRDefault="00215D23" w:rsidP="00215D23">
      <w:r>
        <w:t>Zapis povzela: Ivana Domjan</w:t>
      </w:r>
    </w:p>
    <w:p w:rsidR="00215D23" w:rsidRDefault="00215D23" w:rsidP="0082673C">
      <w:pPr>
        <w:jc w:val="both"/>
        <w:rPr>
          <w:rFonts w:ascii="Times New Roman" w:hAnsi="Times New Roman" w:cs="Times New Roman"/>
          <w:sz w:val="24"/>
          <w:szCs w:val="24"/>
        </w:rPr>
      </w:pPr>
    </w:p>
    <w:p w:rsidR="00215D23" w:rsidRDefault="00215D23" w:rsidP="0082673C">
      <w:pPr>
        <w:jc w:val="both"/>
        <w:rPr>
          <w:rFonts w:ascii="Times New Roman" w:hAnsi="Times New Roman" w:cs="Times New Roman"/>
          <w:sz w:val="24"/>
          <w:szCs w:val="24"/>
        </w:rPr>
      </w:pPr>
    </w:p>
    <w:p w:rsidR="00215D23" w:rsidRDefault="00215D23" w:rsidP="00215D23">
      <w:pPr>
        <w:rPr>
          <w:b/>
        </w:rPr>
      </w:pPr>
      <w:r>
        <w:rPr>
          <w:b/>
        </w:rPr>
        <w:t>Zapis o poteku strokovnega aktiva VSŠ – 15.3.2018</w:t>
      </w:r>
    </w:p>
    <w:p w:rsidR="00215D23" w:rsidRDefault="00215D23" w:rsidP="00215D23">
      <w:r>
        <w:lastRenderedPageBreak/>
        <w:t xml:space="preserve">Strokovni aktiv: </w:t>
      </w:r>
      <w:r w:rsidRPr="00215D23">
        <w:rPr>
          <w:highlight w:val="yellow"/>
        </w:rPr>
        <w:t>EKT – PRI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972"/>
        <w:gridCol w:w="6286"/>
      </w:tblGrid>
      <w:tr w:rsidR="00215D23" w:rsidTr="00215D23">
        <w:tc>
          <w:tcPr>
            <w:tcW w:w="817"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Z. št.</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Referenti po aktivih</w:t>
            </w:r>
          </w:p>
        </w:tc>
        <w:tc>
          <w:tcPr>
            <w:tcW w:w="6410"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Sklepi, pobude, predlogi</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1.</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Dosedanje delo</w:t>
            </w:r>
          </w:p>
          <w:p w:rsidR="00215D23" w:rsidRDefault="00215D23"/>
          <w:p w:rsidR="00215D23" w:rsidRDefault="00215D23"/>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3"/>
              </w:numPr>
              <w:spacing w:after="0" w:line="240" w:lineRule="auto"/>
            </w:pPr>
            <w:r>
              <w:t>Napotitev študentov z izjavami ali podobnimi dokumenti, da si PRI poiščejo sami. V izjemnih primerih pomaga šola.</w:t>
            </w:r>
          </w:p>
          <w:p w:rsidR="00215D23" w:rsidRDefault="00215D23" w:rsidP="00215D23">
            <w:pPr>
              <w:numPr>
                <w:ilvl w:val="0"/>
                <w:numId w:val="3"/>
              </w:numPr>
              <w:spacing w:after="0" w:line="240" w:lineRule="auto"/>
            </w:pPr>
            <w:r>
              <w:t>Na osnovi prejete dokumentacije delodajalca se izvede postopek sklenitve pogodb in posredovanje navodil mentorjem na različne načine (klasično, spletna stran šole, spletna učilnica, e-mail).</w:t>
            </w:r>
          </w:p>
          <w:p w:rsidR="00215D23" w:rsidRDefault="00215D23" w:rsidP="00215D23">
            <w:pPr>
              <w:numPr>
                <w:ilvl w:val="0"/>
                <w:numId w:val="3"/>
              </w:numPr>
              <w:spacing w:after="0" w:line="240" w:lineRule="auto"/>
            </w:pPr>
            <w:r>
              <w:t>Obisk študentov in mentorjev v organizacijah 1 x.</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 xml:space="preserve">2. </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Metode dela</w:t>
            </w:r>
          </w:p>
          <w:p w:rsidR="00215D23" w:rsidRDefault="00215D23"/>
          <w:p w:rsidR="00215D23" w:rsidRDefault="00215D23"/>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3"/>
              </w:numPr>
              <w:spacing w:after="0" w:line="240" w:lineRule="auto"/>
            </w:pPr>
            <w:r>
              <w:t>Razlaga</w:t>
            </w:r>
          </w:p>
          <w:p w:rsidR="00215D23" w:rsidRDefault="00215D23" w:rsidP="00215D23">
            <w:pPr>
              <w:numPr>
                <w:ilvl w:val="0"/>
                <w:numId w:val="3"/>
              </w:numPr>
              <w:spacing w:after="0" w:line="240" w:lineRule="auto"/>
            </w:pPr>
            <w:r>
              <w:t>Razgovor</w:t>
            </w:r>
          </w:p>
          <w:p w:rsidR="00215D23" w:rsidRDefault="00215D23" w:rsidP="00215D23">
            <w:pPr>
              <w:numPr>
                <w:ilvl w:val="0"/>
                <w:numId w:val="3"/>
              </w:numPr>
              <w:spacing w:after="0" w:line="240" w:lineRule="auto"/>
            </w:pPr>
            <w:r>
              <w:t>Demonstracija</w:t>
            </w:r>
          </w:p>
          <w:p w:rsidR="00215D23" w:rsidRDefault="00215D23" w:rsidP="00215D23">
            <w:pPr>
              <w:numPr>
                <w:ilvl w:val="0"/>
                <w:numId w:val="3"/>
              </w:numPr>
              <w:spacing w:after="0" w:line="240" w:lineRule="auto"/>
            </w:pPr>
            <w:r>
              <w:t>Spremljava na PRI</w:t>
            </w:r>
          </w:p>
          <w:p w:rsidR="00215D23" w:rsidRDefault="00215D23" w:rsidP="00215D23">
            <w:pPr>
              <w:numPr>
                <w:ilvl w:val="0"/>
                <w:numId w:val="3"/>
              </w:numPr>
              <w:spacing w:after="0" w:line="240" w:lineRule="auto"/>
            </w:pPr>
            <w:r>
              <w:t>Evalvacija</w:t>
            </w:r>
          </w:p>
          <w:p w:rsidR="00215D23" w:rsidRDefault="00215D23" w:rsidP="00215D23">
            <w:pPr>
              <w:numPr>
                <w:ilvl w:val="0"/>
                <w:numId w:val="3"/>
              </w:numPr>
              <w:spacing w:after="0" w:line="240" w:lineRule="auto"/>
            </w:pPr>
            <w:r>
              <w:t>Okrogle mize ali seminarji z mentorji in strokovnjaki iz prakse</w:t>
            </w:r>
          </w:p>
          <w:p w:rsidR="00215D23" w:rsidRDefault="00215D23" w:rsidP="00215D23">
            <w:pPr>
              <w:numPr>
                <w:ilvl w:val="0"/>
                <w:numId w:val="3"/>
              </w:numPr>
              <w:spacing w:after="0" w:line="240" w:lineRule="auto"/>
            </w:pPr>
            <w:r>
              <w:t>GZS – pedagoško-andragoško izobraževanje mentorjev</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3.</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Medpredmetno povezovanje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Modularno oblikovano</w:t>
            </w:r>
          </w:p>
          <w:p w:rsidR="00215D23" w:rsidRDefault="00215D23" w:rsidP="00215D23">
            <w:pPr>
              <w:numPr>
                <w:ilvl w:val="0"/>
                <w:numId w:val="4"/>
              </w:numPr>
              <w:spacing w:after="0" w:line="240" w:lineRule="auto"/>
            </w:pPr>
            <w:r>
              <w:t>Omejitve nalog na določeno delovno področje povezano z modulom izobraževanja.</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 xml:space="preserve">4. </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Posebnosti pri izrednih študentih</w:t>
            </w:r>
          </w:p>
          <w:p w:rsidR="00215D23" w:rsidRDefault="00215D23"/>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Za izredne  študente, ki morajo opraviti PRI:</w:t>
            </w:r>
          </w:p>
          <w:p w:rsidR="00215D23" w:rsidRDefault="00215D23" w:rsidP="00215D23">
            <w:pPr>
              <w:numPr>
                <w:ilvl w:val="1"/>
                <w:numId w:val="4"/>
              </w:numPr>
              <w:spacing w:after="0" w:line="240" w:lineRule="auto"/>
            </w:pPr>
            <w:r>
              <w:t>V MS je obseg PRI po letniku 240 ur</w:t>
            </w:r>
          </w:p>
          <w:p w:rsidR="00215D23" w:rsidRDefault="00215D23" w:rsidP="00215D23">
            <w:pPr>
              <w:numPr>
                <w:ilvl w:val="1"/>
                <w:numId w:val="4"/>
              </w:numPr>
              <w:spacing w:after="0" w:line="240" w:lineRule="auto"/>
            </w:pPr>
            <w:r>
              <w:t>V CE je obseg PRI po letniku 200 ur</w:t>
            </w:r>
          </w:p>
          <w:p w:rsidR="00215D23" w:rsidRDefault="00215D23" w:rsidP="00215D23">
            <w:pPr>
              <w:numPr>
                <w:ilvl w:val="1"/>
                <w:numId w:val="4"/>
              </w:numPr>
              <w:spacing w:after="0" w:line="240" w:lineRule="auto"/>
            </w:pPr>
            <w:r>
              <w:t>V NM in SG je obseg PRI po letniku 400 ur</w:t>
            </w:r>
          </w:p>
          <w:p w:rsidR="00215D23" w:rsidRDefault="00215D23" w:rsidP="00215D23">
            <w:pPr>
              <w:numPr>
                <w:ilvl w:val="1"/>
                <w:numId w:val="4"/>
              </w:numPr>
              <w:spacing w:after="0" w:line="240" w:lineRule="auto"/>
            </w:pPr>
            <w:r>
              <w:t>Študenti izdelajo PN v vsakem letniku.</w:t>
            </w:r>
          </w:p>
          <w:p w:rsidR="00215D23" w:rsidRDefault="00215D23" w:rsidP="00215D23">
            <w:pPr>
              <w:numPr>
                <w:ilvl w:val="0"/>
                <w:numId w:val="4"/>
              </w:numPr>
              <w:spacing w:after="0" w:line="240" w:lineRule="auto"/>
            </w:pPr>
            <w:r>
              <w:t>To področje bi bilo smiselno uskladiti med vsemi VSŠ.</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5.</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Študijska gradiva</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5"/>
              </w:numPr>
              <w:spacing w:after="0" w:line="240" w:lineRule="auto"/>
            </w:pPr>
            <w:r>
              <w:t>Interna navodila</w:t>
            </w:r>
          </w:p>
          <w:p w:rsidR="00215D23" w:rsidRDefault="00215D23" w:rsidP="00215D23">
            <w:pPr>
              <w:numPr>
                <w:ilvl w:val="0"/>
                <w:numId w:val="5"/>
              </w:numPr>
              <w:spacing w:after="0" w:line="240" w:lineRule="auto"/>
            </w:pPr>
            <w:r>
              <w:t>Obrazci na spletni strani šole ali v spletni učilnici.</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6.</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Priznavanje znanj</w:t>
            </w:r>
          </w:p>
          <w:p w:rsidR="00215D23" w:rsidRDefault="00215D23"/>
          <w:p w:rsidR="00215D23" w:rsidRDefault="00215D23"/>
          <w:p w:rsidR="00215D23" w:rsidRDefault="00215D23"/>
          <w:p w:rsidR="00215D23" w:rsidRDefault="00215D23"/>
          <w:p w:rsidR="00215D23" w:rsidRDefault="00215D23"/>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Priznavanje PRI – 2 leti ustreznih delovnih izkušenj:</w:t>
            </w:r>
          </w:p>
          <w:p w:rsidR="00215D23" w:rsidRDefault="00215D23" w:rsidP="00215D23">
            <w:pPr>
              <w:numPr>
                <w:ilvl w:val="1"/>
                <w:numId w:val="4"/>
              </w:numPr>
              <w:spacing w:after="0" w:line="240" w:lineRule="auto"/>
            </w:pPr>
            <w:r>
              <w:t xml:space="preserve">MS – PRI1 v celoti, PRI2 delno – študenti pripravi PN in jo zagovarja </w:t>
            </w:r>
          </w:p>
          <w:p w:rsidR="00215D23" w:rsidRDefault="00215D23" w:rsidP="00215D23">
            <w:pPr>
              <w:numPr>
                <w:ilvl w:val="1"/>
                <w:numId w:val="4"/>
              </w:numPr>
              <w:spacing w:after="0" w:line="240" w:lineRule="auto"/>
            </w:pPr>
            <w:r>
              <w:t>CE – PRI1 delno, PRI2 v celoti – pripravi PN in jo zagovarja</w:t>
            </w:r>
          </w:p>
          <w:p w:rsidR="00215D23" w:rsidRDefault="00215D23" w:rsidP="00215D23">
            <w:pPr>
              <w:numPr>
                <w:ilvl w:val="0"/>
                <w:numId w:val="4"/>
              </w:numPr>
              <w:spacing w:after="0" w:line="240" w:lineRule="auto"/>
            </w:pPr>
            <w:r>
              <w:t>Priznavanje PRI, če je doseženih več kot 60 % ciljev oziroma doseženih kompetenc</w:t>
            </w:r>
          </w:p>
          <w:p w:rsidR="00215D23" w:rsidRDefault="00215D23" w:rsidP="00215D23">
            <w:pPr>
              <w:numPr>
                <w:ilvl w:val="0"/>
                <w:numId w:val="4"/>
              </w:numPr>
              <w:spacing w:after="0" w:line="240" w:lineRule="auto"/>
            </w:pPr>
            <w:r>
              <w:t>Priznavanje opravi Študijska komisija v posvetovanju z organizatorjem PRI.</w:t>
            </w:r>
          </w:p>
          <w:p w:rsidR="00215D23" w:rsidRDefault="00215D23" w:rsidP="00215D23">
            <w:pPr>
              <w:numPr>
                <w:ilvl w:val="0"/>
                <w:numId w:val="4"/>
              </w:numPr>
              <w:spacing w:after="0" w:line="240" w:lineRule="auto"/>
            </w:pPr>
            <w:r>
              <w:t>To področje bi bilo smiselno uskladiti med vsemi VSŠ.</w:t>
            </w:r>
          </w:p>
          <w:p w:rsidR="00215D23" w:rsidRDefault="00215D23" w:rsidP="00215D23">
            <w:pPr>
              <w:numPr>
                <w:ilvl w:val="0"/>
                <w:numId w:val="4"/>
              </w:numPr>
              <w:spacing w:after="0" w:line="240" w:lineRule="auto"/>
            </w:pPr>
            <w:r>
              <w:t>Neformalno priznavanje PRI – delo preko študentskega servisa v obsegu 1.600 ur po pogodbi na letnik s predloženo ustrezno dokumentacijo – priznava ŠK</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7.</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Izpitne naloge</w:t>
            </w:r>
          </w:p>
          <w:p w:rsidR="00215D23" w:rsidRDefault="00215D23"/>
        </w:tc>
        <w:tc>
          <w:tcPr>
            <w:tcW w:w="6410" w:type="dxa"/>
            <w:tcBorders>
              <w:top w:val="single" w:sz="4" w:space="0" w:color="auto"/>
              <w:left w:val="single" w:sz="4" w:space="0" w:color="auto"/>
              <w:bottom w:val="single" w:sz="4" w:space="0" w:color="auto"/>
              <w:right w:val="single" w:sz="4" w:space="0" w:color="auto"/>
            </w:tcBorders>
          </w:tcPr>
          <w:p w:rsidR="00215D23" w:rsidRDefault="00215D23" w:rsidP="00215D23">
            <w:pPr>
              <w:numPr>
                <w:ilvl w:val="0"/>
                <w:numId w:val="6"/>
              </w:numPr>
              <w:spacing w:after="0" w:line="240" w:lineRule="auto"/>
            </w:pPr>
            <w:r>
              <w:t>Razgovor o PRI</w:t>
            </w:r>
          </w:p>
          <w:p w:rsidR="00215D23" w:rsidRDefault="00215D23" w:rsidP="00215D23">
            <w:pPr>
              <w:numPr>
                <w:ilvl w:val="0"/>
                <w:numId w:val="6"/>
              </w:numPr>
              <w:spacing w:after="0" w:line="240" w:lineRule="auto"/>
            </w:pPr>
            <w:r>
              <w:t>Predstavitev PN (MS, CE)</w:t>
            </w:r>
          </w:p>
          <w:p w:rsidR="00215D23" w:rsidRDefault="00215D23" w:rsidP="00215D23">
            <w:pPr>
              <w:numPr>
                <w:ilvl w:val="0"/>
                <w:numId w:val="6"/>
              </w:numPr>
              <w:spacing w:after="0" w:line="240" w:lineRule="auto"/>
            </w:pPr>
            <w:r>
              <w:t>Ocena mentorja v podjetju</w:t>
            </w:r>
          </w:p>
          <w:p w:rsidR="00215D23" w:rsidRDefault="00215D23" w:rsidP="00215D23">
            <w:pPr>
              <w:numPr>
                <w:ilvl w:val="0"/>
                <w:numId w:val="6"/>
              </w:numPr>
              <w:spacing w:after="0" w:line="240" w:lineRule="auto"/>
            </w:pPr>
            <w:r>
              <w:t>Ocena strokovnega mentorja na šoli</w:t>
            </w:r>
          </w:p>
          <w:p w:rsidR="00215D23" w:rsidRDefault="00215D23" w:rsidP="00215D23">
            <w:pPr>
              <w:numPr>
                <w:ilvl w:val="0"/>
                <w:numId w:val="6"/>
              </w:numPr>
              <w:spacing w:after="0" w:line="240" w:lineRule="auto"/>
            </w:pPr>
            <w:r>
              <w:t>Ocena predavatelja-organizatorja PRI</w:t>
            </w:r>
          </w:p>
          <w:p w:rsidR="00215D23" w:rsidRDefault="00215D23" w:rsidP="00215D23">
            <w:pPr>
              <w:numPr>
                <w:ilvl w:val="0"/>
                <w:numId w:val="6"/>
              </w:numPr>
              <w:spacing w:after="0" w:line="240" w:lineRule="auto"/>
            </w:pPr>
            <w:r>
              <w:lastRenderedPageBreak/>
              <w:t>Oblikovanje ocen:</w:t>
            </w:r>
          </w:p>
          <w:p w:rsidR="00215D23" w:rsidRDefault="00215D23" w:rsidP="00215D23">
            <w:pPr>
              <w:numPr>
                <w:ilvl w:val="1"/>
                <w:numId w:val="6"/>
              </w:numPr>
              <w:spacing w:after="0" w:line="240" w:lineRule="auto"/>
            </w:pPr>
            <w:r>
              <w:t>MS, CE: 50 : 25 :25</w:t>
            </w:r>
          </w:p>
          <w:p w:rsidR="00215D23" w:rsidRDefault="00215D23" w:rsidP="00215D23">
            <w:pPr>
              <w:numPr>
                <w:ilvl w:val="1"/>
                <w:numId w:val="6"/>
              </w:numPr>
              <w:spacing w:after="0" w:line="240" w:lineRule="auto"/>
            </w:pPr>
            <w:r>
              <w:t>NM, SG – 1/3 : 1/3 : 1/3</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lastRenderedPageBreak/>
              <w:t>8.</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Projektne in diplomske naloge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7"/>
              </w:numPr>
              <w:spacing w:after="0" w:line="240" w:lineRule="auto"/>
            </w:pPr>
            <w:r>
              <w:t>Obseg strani PN od 10 do 15</w:t>
            </w:r>
          </w:p>
          <w:p w:rsidR="00215D23" w:rsidRDefault="00215D23" w:rsidP="00215D23">
            <w:pPr>
              <w:numPr>
                <w:ilvl w:val="0"/>
                <w:numId w:val="7"/>
              </w:numPr>
              <w:spacing w:after="0" w:line="240" w:lineRule="auto"/>
            </w:pPr>
            <w:r>
              <w:t>Možna nadgradnja v DN – obseg strani od 30 do 50.</w:t>
            </w:r>
          </w:p>
        </w:tc>
      </w:tr>
      <w:tr w:rsidR="00215D23" w:rsidTr="00215D23">
        <w:tc>
          <w:tcPr>
            <w:tcW w:w="817" w:type="dxa"/>
            <w:tcBorders>
              <w:top w:val="single" w:sz="4" w:space="0" w:color="auto"/>
              <w:left w:val="single" w:sz="4" w:space="0" w:color="auto"/>
              <w:bottom w:val="single" w:sz="4" w:space="0" w:color="auto"/>
              <w:right w:val="single" w:sz="4" w:space="0" w:color="auto"/>
            </w:tcBorders>
          </w:tcPr>
          <w:p w:rsidR="00215D23" w:rsidRDefault="00215D23">
            <w:r>
              <w:t>9.</w:t>
            </w:r>
          </w:p>
          <w:p w:rsidR="00215D23" w:rsidRDefault="00215D23"/>
          <w:p w:rsidR="00215D23" w:rsidRDefault="00215D23"/>
          <w:p w:rsidR="00215D23" w:rsidRDefault="00215D23"/>
          <w:p w:rsidR="00215D23" w:rsidRDefault="00215D23"/>
          <w:p w:rsidR="00215D23" w:rsidRDefault="00215D23"/>
          <w:p w:rsidR="00215D23" w:rsidRDefault="00215D23"/>
          <w:p w:rsidR="00215D23" w:rsidRDefault="00215D23"/>
        </w:tc>
        <w:tc>
          <w:tcPr>
            <w:tcW w:w="1985" w:type="dxa"/>
            <w:tcBorders>
              <w:top w:val="single" w:sz="4" w:space="0" w:color="auto"/>
              <w:left w:val="single" w:sz="4" w:space="0" w:color="auto"/>
              <w:bottom w:val="single" w:sz="4" w:space="0" w:color="auto"/>
              <w:right w:val="single" w:sz="4" w:space="0" w:color="auto"/>
            </w:tcBorders>
            <w:hideMark/>
          </w:tcPr>
          <w:p w:rsidR="00215D23" w:rsidRDefault="00215D23">
            <w:r>
              <w:t>Praktično izobraževanje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8"/>
              </w:numPr>
              <w:spacing w:after="0" w:line="240" w:lineRule="auto"/>
            </w:pPr>
            <w:r>
              <w:t>Sodelovanje v različnih projektih:</w:t>
            </w:r>
          </w:p>
          <w:p w:rsidR="00215D23" w:rsidRDefault="00215D23" w:rsidP="00215D23">
            <w:pPr>
              <w:numPr>
                <w:ilvl w:val="1"/>
                <w:numId w:val="8"/>
              </w:numPr>
              <w:spacing w:after="0" w:line="240" w:lineRule="auto"/>
            </w:pPr>
            <w:r>
              <w:t xml:space="preserve">CE – Kasto 7 v sodelovanju z VSŠ </w:t>
            </w:r>
            <w:proofErr w:type="spellStart"/>
            <w:r>
              <w:t>Leskovac</w:t>
            </w:r>
            <w:proofErr w:type="spellEnd"/>
            <w:r>
              <w:t xml:space="preserve"> – spletna stran VSŠ CE – dostopnost dokumentacije</w:t>
            </w:r>
          </w:p>
          <w:p w:rsidR="00215D23" w:rsidRDefault="00215D23" w:rsidP="00215D23">
            <w:pPr>
              <w:numPr>
                <w:ilvl w:val="0"/>
                <w:numId w:val="8"/>
              </w:numPr>
              <w:spacing w:after="0" w:line="240" w:lineRule="auto"/>
            </w:pPr>
            <w:r>
              <w:t xml:space="preserve">Večina predavateljev PRI vključenih v projekt </w:t>
            </w:r>
            <w:proofErr w:type="spellStart"/>
            <w:r>
              <w:t>Apprentice</w:t>
            </w:r>
            <w:proofErr w:type="spellEnd"/>
            <w:r>
              <w:t xml:space="preserve"> </w:t>
            </w:r>
            <w:proofErr w:type="spellStart"/>
            <w:r>
              <w:t>Track</w:t>
            </w:r>
            <w:proofErr w:type="spellEnd"/>
            <w:r>
              <w:t>/STAT projekt za izdelavo programa, ki se bo vključitev v program Evidenca</w:t>
            </w:r>
          </w:p>
          <w:p w:rsidR="00215D23" w:rsidRDefault="00215D23" w:rsidP="00215D23">
            <w:pPr>
              <w:numPr>
                <w:ilvl w:val="0"/>
                <w:numId w:val="8"/>
              </w:numPr>
              <w:spacing w:after="0" w:line="240" w:lineRule="auto"/>
            </w:pPr>
            <w:r>
              <w:t>CE – novost – Izdaja potrdila študentom, ki predstavlja referenco delodajalca in tedensko vodenja dnevnika o PRI</w:t>
            </w:r>
          </w:p>
          <w:p w:rsidR="00215D23" w:rsidRDefault="00215D23" w:rsidP="00215D23">
            <w:pPr>
              <w:numPr>
                <w:ilvl w:val="0"/>
                <w:numId w:val="8"/>
              </w:numPr>
              <w:spacing w:after="0" w:line="240" w:lineRule="auto"/>
            </w:pPr>
            <w:r>
              <w:t>Pridobivanje evropskih sredstev za mentorje in študente na PRI preko Javnega sklada za razvoj kadrov in štipendije – vse šole</w:t>
            </w:r>
          </w:p>
          <w:p w:rsidR="00215D23" w:rsidRDefault="00215D23" w:rsidP="00215D23">
            <w:pPr>
              <w:numPr>
                <w:ilvl w:val="0"/>
                <w:numId w:val="8"/>
              </w:numPr>
              <w:spacing w:after="0" w:line="240" w:lineRule="auto"/>
            </w:pPr>
            <w:r>
              <w:t>Problematika pridobitve naziva organizator praktičnega izobraževanja, če nimaš pridobljenega naziva predavatelj, ker se več ne izvajajo predmeti za kateri se pridobi naziv predavatelj. Gre za razvrednotenje dela predavatelj-organizator PRI, saj je bilo prej potrebno pridobiti naziv, sedaj pa lahko to delo opravlja vsak, ki ima pridobljen naziv predavatelj VSŠ.</w:t>
            </w:r>
          </w:p>
        </w:tc>
      </w:tr>
    </w:tbl>
    <w:p w:rsidR="00215D23" w:rsidRDefault="00215D23" w:rsidP="00215D23">
      <w:r>
        <w:t>Prisotnost v aktivu __PRI:</w:t>
      </w:r>
      <w:r>
        <w:tab/>
      </w:r>
      <w:r>
        <w:tab/>
        <w:t xml:space="preserve">dr. Anita Goltnik </w:t>
      </w:r>
      <w:proofErr w:type="spellStart"/>
      <w:r>
        <w:t>Uranaut</w:t>
      </w:r>
      <w:proofErr w:type="spellEnd"/>
      <w:r>
        <w:t xml:space="preserve"> SG  </w:t>
      </w:r>
    </w:p>
    <w:p w:rsidR="00215D23" w:rsidRDefault="00215D23" w:rsidP="00215D23">
      <w:r>
        <w:tab/>
      </w:r>
      <w:r>
        <w:tab/>
      </w:r>
      <w:r>
        <w:tab/>
      </w:r>
      <w:r>
        <w:tab/>
      </w:r>
      <w:r>
        <w:tab/>
        <w:t xml:space="preserve">Marta Belič SG                </w:t>
      </w:r>
    </w:p>
    <w:p w:rsidR="00215D23" w:rsidRDefault="00215D23" w:rsidP="00215D23">
      <w:r>
        <w:tab/>
      </w:r>
      <w:r>
        <w:tab/>
      </w:r>
      <w:r>
        <w:tab/>
      </w:r>
      <w:r>
        <w:tab/>
      </w:r>
      <w:r>
        <w:tab/>
        <w:t>Ivana Domjan MS</w:t>
      </w:r>
    </w:p>
    <w:p w:rsidR="00215D23" w:rsidRDefault="00215D23" w:rsidP="00215D23">
      <w:r>
        <w:tab/>
      </w:r>
      <w:r>
        <w:tab/>
      </w:r>
      <w:r>
        <w:tab/>
      </w:r>
      <w:r>
        <w:tab/>
      </w:r>
      <w:r>
        <w:tab/>
        <w:t>Marjeta Nosan CE</w:t>
      </w:r>
    </w:p>
    <w:p w:rsidR="00215D23" w:rsidRDefault="00215D23" w:rsidP="00215D23">
      <w:r>
        <w:tab/>
      </w:r>
      <w:r>
        <w:tab/>
      </w:r>
      <w:r>
        <w:tab/>
      </w:r>
      <w:r>
        <w:tab/>
      </w:r>
      <w:r>
        <w:tab/>
        <w:t xml:space="preserve">Mateja </w:t>
      </w:r>
      <w:proofErr w:type="spellStart"/>
      <w:r>
        <w:t>Kapitler</w:t>
      </w:r>
      <w:proofErr w:type="spellEnd"/>
      <w:r>
        <w:t xml:space="preserve"> CE</w:t>
      </w:r>
    </w:p>
    <w:p w:rsidR="00215D23" w:rsidRDefault="00215D23" w:rsidP="00215D23">
      <w:r>
        <w:tab/>
      </w:r>
      <w:r>
        <w:tab/>
      </w:r>
      <w:r>
        <w:tab/>
      </w:r>
      <w:r>
        <w:tab/>
      </w:r>
      <w:r>
        <w:tab/>
      </w:r>
      <w:r>
        <w:tab/>
      </w:r>
      <w:r>
        <w:tab/>
      </w:r>
    </w:p>
    <w:p w:rsidR="00215D23" w:rsidRDefault="00215D23" w:rsidP="00215D23">
      <w:r>
        <w:t>Zapis pripravila: Ivana Domjan</w:t>
      </w:r>
    </w:p>
    <w:p w:rsidR="00215D23" w:rsidRDefault="00215D23" w:rsidP="0082673C">
      <w:pPr>
        <w:jc w:val="both"/>
        <w:rPr>
          <w:rFonts w:ascii="Times New Roman" w:hAnsi="Times New Roman" w:cs="Times New Roman"/>
          <w:sz w:val="24"/>
          <w:szCs w:val="24"/>
        </w:rPr>
      </w:pPr>
    </w:p>
    <w:p w:rsidR="00215D23" w:rsidRDefault="00215D23" w:rsidP="0082673C">
      <w:pPr>
        <w:jc w:val="both"/>
        <w:rPr>
          <w:rFonts w:ascii="Times New Roman" w:hAnsi="Times New Roman" w:cs="Times New Roman"/>
          <w:sz w:val="24"/>
          <w:szCs w:val="24"/>
        </w:rPr>
      </w:pPr>
    </w:p>
    <w:p w:rsidR="00215D23" w:rsidRDefault="00215D23" w:rsidP="0082673C">
      <w:pPr>
        <w:jc w:val="both"/>
        <w:rPr>
          <w:rFonts w:ascii="Times New Roman" w:hAnsi="Times New Roman" w:cs="Times New Roman"/>
          <w:sz w:val="24"/>
          <w:szCs w:val="24"/>
        </w:rPr>
      </w:pPr>
    </w:p>
    <w:p w:rsidR="00215D23" w:rsidRDefault="00215D23" w:rsidP="00215D23"/>
    <w:p w:rsidR="00215D23" w:rsidRDefault="00215D23" w:rsidP="00215D23"/>
    <w:p w:rsidR="00215D23" w:rsidRDefault="00215D23" w:rsidP="00215D23"/>
    <w:p w:rsidR="00215D23" w:rsidRDefault="00215D23" w:rsidP="00215D23"/>
    <w:p w:rsidR="00215D23" w:rsidRDefault="00215D23" w:rsidP="00215D23">
      <w:pPr>
        <w:rPr>
          <w:b/>
        </w:rPr>
      </w:pPr>
      <w:r>
        <w:rPr>
          <w:b/>
        </w:rPr>
        <w:t>Zapis o poteku strokovnega aktiva VSŠ – 15.3.2018</w:t>
      </w:r>
    </w:p>
    <w:p w:rsidR="00215D23" w:rsidRDefault="00215D23" w:rsidP="00215D23">
      <w:r>
        <w:lastRenderedPageBreak/>
        <w:t xml:space="preserve">Strokovni aktiv: </w:t>
      </w:r>
      <w:r w:rsidRPr="00215D23">
        <w:rPr>
          <w:highlight w:val="yellow"/>
        </w:rPr>
        <w:t>EKT – POK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974"/>
        <w:gridCol w:w="6283"/>
      </w:tblGrid>
      <w:tr w:rsidR="00215D23" w:rsidTr="00215D23">
        <w:tc>
          <w:tcPr>
            <w:tcW w:w="817"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Z. št.</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Referenti po aktivih</w:t>
            </w:r>
          </w:p>
        </w:tc>
        <w:tc>
          <w:tcPr>
            <w:tcW w:w="6410" w:type="dxa"/>
            <w:tcBorders>
              <w:top w:val="single" w:sz="4" w:space="0" w:color="auto"/>
              <w:left w:val="single" w:sz="4" w:space="0" w:color="auto"/>
              <w:bottom w:val="single" w:sz="4" w:space="0" w:color="auto"/>
              <w:right w:val="single" w:sz="4" w:space="0" w:color="auto"/>
            </w:tcBorders>
            <w:shd w:val="clear" w:color="auto" w:fill="D9D9D9"/>
            <w:hideMark/>
          </w:tcPr>
          <w:p w:rsidR="00215D23" w:rsidRDefault="00215D23">
            <w:pPr>
              <w:rPr>
                <w:b/>
              </w:rPr>
            </w:pPr>
            <w:r>
              <w:rPr>
                <w:b/>
              </w:rPr>
              <w:t>Sklepi, pobude, predlogi</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1.</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Dosedanje delo</w:t>
            </w:r>
          </w:p>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3"/>
              </w:numPr>
              <w:spacing w:after="0" w:line="240" w:lineRule="auto"/>
              <w:rPr>
                <w:i/>
              </w:rPr>
            </w:pPr>
            <w:r>
              <w:rPr>
                <w:i/>
              </w:rPr>
              <w:t>Predlogi:</w:t>
            </w:r>
          </w:p>
          <w:p w:rsidR="00215D23" w:rsidRDefault="00215D23" w:rsidP="00215D23">
            <w:pPr>
              <w:numPr>
                <w:ilvl w:val="0"/>
                <w:numId w:val="3"/>
              </w:numPr>
              <w:spacing w:after="0" w:line="240" w:lineRule="auto"/>
            </w:pPr>
            <w:r>
              <w:t xml:space="preserve"> 1 x letno priredimo </w:t>
            </w:r>
            <w:proofErr w:type="spellStart"/>
            <w:r>
              <w:t>medšolsko</w:t>
            </w:r>
            <w:proofErr w:type="spellEnd"/>
            <w:r>
              <w:t xml:space="preserve"> sodelovanje pri predmetu POK (razni sejmi itd.).</w:t>
            </w:r>
          </w:p>
          <w:p w:rsidR="00215D23" w:rsidRDefault="00215D23" w:rsidP="00215D23">
            <w:pPr>
              <w:numPr>
                <w:ilvl w:val="0"/>
                <w:numId w:val="3"/>
              </w:numPr>
              <w:spacing w:after="0" w:line="240" w:lineRule="auto"/>
            </w:pPr>
            <w:r>
              <w:t xml:space="preserve">Skupna priprava priročnika za vaje pri POK </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 xml:space="preserve">2. </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Metode dela</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3"/>
              </w:numPr>
              <w:spacing w:after="0" w:line="240" w:lineRule="auto"/>
            </w:pPr>
            <w:r>
              <w:t>Video delavnice  (z vključitvijo elementov retorike)</w:t>
            </w:r>
          </w:p>
          <w:p w:rsidR="00215D23" w:rsidRDefault="00215D23" w:rsidP="00215D23">
            <w:pPr>
              <w:numPr>
                <w:ilvl w:val="0"/>
                <w:numId w:val="3"/>
              </w:numPr>
              <w:spacing w:after="0" w:line="240" w:lineRule="auto"/>
            </w:pPr>
            <w:r>
              <w:t>Raziskovalno delo</w:t>
            </w:r>
          </w:p>
          <w:p w:rsidR="00215D23" w:rsidRDefault="00215D23" w:rsidP="00215D23">
            <w:pPr>
              <w:numPr>
                <w:ilvl w:val="0"/>
                <w:numId w:val="3"/>
              </w:numPr>
              <w:spacing w:after="0" w:line="240" w:lineRule="auto"/>
            </w:pPr>
            <w:r>
              <w:t>Terensko delo</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3.</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Medpredmetno povezovanje</w:t>
            </w:r>
          </w:p>
        </w:tc>
        <w:tc>
          <w:tcPr>
            <w:tcW w:w="6410" w:type="dxa"/>
            <w:tcBorders>
              <w:top w:val="single" w:sz="4" w:space="0" w:color="auto"/>
              <w:left w:val="single" w:sz="4" w:space="0" w:color="auto"/>
              <w:bottom w:val="single" w:sz="4" w:space="0" w:color="auto"/>
              <w:right w:val="single" w:sz="4" w:space="0" w:color="auto"/>
            </w:tcBorders>
          </w:tcPr>
          <w:p w:rsidR="00215D23" w:rsidRDefault="00215D23" w:rsidP="00215D23">
            <w:pPr>
              <w:numPr>
                <w:ilvl w:val="0"/>
                <w:numId w:val="4"/>
              </w:numPr>
              <w:spacing w:after="0" w:line="240" w:lineRule="auto"/>
              <w:rPr>
                <w:i/>
              </w:rPr>
            </w:pPr>
            <w:r>
              <w:rPr>
                <w:i/>
              </w:rPr>
              <w:t>Predlogi:</w:t>
            </w:r>
          </w:p>
          <w:p w:rsidR="00215D23" w:rsidRDefault="00215D23" w:rsidP="00215D23">
            <w:pPr>
              <w:numPr>
                <w:ilvl w:val="0"/>
                <w:numId w:val="4"/>
              </w:numPr>
              <w:spacing w:after="0" w:line="240" w:lineRule="auto"/>
            </w:pPr>
            <w:r>
              <w:t>Med predmetno povezovanje bi bilo bolj uspešno, če bi se komplementarni predmeti izvajali v istem letniku (npr. POK in POD).</w:t>
            </w:r>
          </w:p>
          <w:p w:rsidR="00215D23" w:rsidRDefault="00215D23" w:rsidP="00215D23">
            <w:pPr>
              <w:numPr>
                <w:ilvl w:val="0"/>
                <w:numId w:val="4"/>
              </w:numPr>
              <w:spacing w:after="0" w:line="240" w:lineRule="auto"/>
            </w:pPr>
            <w:r>
              <w:t>Sodelovanje v centrali učnih podjetij Sloveniji</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 xml:space="preserve">4. </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Posebnosti pri izrednih študentih</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pPr>
            <w:r>
              <w:t xml:space="preserve">Z izrednimi študenti je izvajanje učnega procesa lažje, zaradi njihovih  izkušenj in kompetenc s področja komunikacije. </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5.</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Študijska gradiva</w:t>
            </w:r>
          </w:p>
        </w:tc>
        <w:tc>
          <w:tcPr>
            <w:tcW w:w="6410" w:type="dxa"/>
            <w:tcBorders>
              <w:top w:val="single" w:sz="4" w:space="0" w:color="auto"/>
              <w:left w:val="single" w:sz="4" w:space="0" w:color="auto"/>
              <w:bottom w:val="single" w:sz="4" w:space="0" w:color="auto"/>
              <w:right w:val="single" w:sz="4" w:space="0" w:color="auto"/>
            </w:tcBorders>
          </w:tcPr>
          <w:p w:rsidR="00215D23" w:rsidRDefault="00215D23" w:rsidP="00215D23">
            <w:pPr>
              <w:numPr>
                <w:ilvl w:val="0"/>
                <w:numId w:val="5"/>
              </w:numPr>
              <w:spacing w:after="0" w:line="240" w:lineRule="auto"/>
            </w:pP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6.</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Priznavanje znanj</w:t>
            </w:r>
          </w:p>
          <w:p w:rsidR="00215D23" w:rsidRDefault="00215D23"/>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4"/>
              </w:numPr>
              <w:spacing w:after="0" w:line="240" w:lineRule="auto"/>
              <w:rPr>
                <w:i/>
              </w:rPr>
            </w:pPr>
            <w:r>
              <w:rPr>
                <w:i/>
              </w:rPr>
              <w:t>Predlogi:</w:t>
            </w:r>
          </w:p>
          <w:p w:rsidR="00215D23" w:rsidRDefault="00215D23" w:rsidP="00215D23">
            <w:pPr>
              <w:numPr>
                <w:ilvl w:val="0"/>
                <w:numId w:val="4"/>
              </w:numPr>
              <w:spacing w:after="0" w:line="240" w:lineRule="auto"/>
            </w:pPr>
            <w:r>
              <w:t>V primeru aktivnega dela v organih šole, organiziranja prireditev, urejanja glasila itd., se študentu prizna  do 3 ECTS ali izbirni predmet.</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7.</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Izpitne naloge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6"/>
              </w:numPr>
              <w:spacing w:after="0" w:line="240" w:lineRule="auto"/>
            </w:pPr>
            <w:r>
              <w:t>Kombinacije več tipov vprašanj.</w:t>
            </w:r>
          </w:p>
        </w:tc>
      </w:tr>
      <w:tr w:rsidR="00215D23" w:rsidTr="00215D23">
        <w:tc>
          <w:tcPr>
            <w:tcW w:w="817" w:type="dxa"/>
            <w:tcBorders>
              <w:top w:val="single" w:sz="4" w:space="0" w:color="auto"/>
              <w:left w:val="single" w:sz="4" w:space="0" w:color="auto"/>
              <w:bottom w:val="single" w:sz="4" w:space="0" w:color="auto"/>
              <w:right w:val="single" w:sz="4" w:space="0" w:color="auto"/>
            </w:tcBorders>
            <w:hideMark/>
          </w:tcPr>
          <w:p w:rsidR="00215D23" w:rsidRDefault="00215D23">
            <w:r>
              <w:t>8.</w:t>
            </w:r>
          </w:p>
        </w:tc>
        <w:tc>
          <w:tcPr>
            <w:tcW w:w="1985" w:type="dxa"/>
            <w:tcBorders>
              <w:top w:val="single" w:sz="4" w:space="0" w:color="auto"/>
              <w:left w:val="single" w:sz="4" w:space="0" w:color="auto"/>
              <w:bottom w:val="single" w:sz="4" w:space="0" w:color="auto"/>
              <w:right w:val="single" w:sz="4" w:space="0" w:color="auto"/>
            </w:tcBorders>
          </w:tcPr>
          <w:p w:rsidR="00215D23" w:rsidRDefault="00215D23">
            <w:r>
              <w:t>Projektne in diplomske naloge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7"/>
              </w:numPr>
              <w:spacing w:after="0" w:line="240" w:lineRule="auto"/>
            </w:pPr>
            <w:r>
              <w:t>Aplikativne, raziskovalne naloge.</w:t>
            </w:r>
          </w:p>
        </w:tc>
      </w:tr>
      <w:tr w:rsidR="00215D23" w:rsidTr="00215D23">
        <w:trPr>
          <w:trHeight w:val="1346"/>
        </w:trPr>
        <w:tc>
          <w:tcPr>
            <w:tcW w:w="817" w:type="dxa"/>
            <w:tcBorders>
              <w:top w:val="single" w:sz="4" w:space="0" w:color="auto"/>
              <w:left w:val="single" w:sz="4" w:space="0" w:color="auto"/>
              <w:bottom w:val="single" w:sz="4" w:space="0" w:color="auto"/>
              <w:right w:val="single" w:sz="4" w:space="0" w:color="auto"/>
            </w:tcBorders>
          </w:tcPr>
          <w:p w:rsidR="00215D23" w:rsidRDefault="00215D23">
            <w:r>
              <w:t>9.</w:t>
            </w:r>
          </w:p>
        </w:tc>
        <w:tc>
          <w:tcPr>
            <w:tcW w:w="1985" w:type="dxa"/>
            <w:tcBorders>
              <w:top w:val="single" w:sz="4" w:space="0" w:color="auto"/>
              <w:left w:val="single" w:sz="4" w:space="0" w:color="auto"/>
              <w:bottom w:val="single" w:sz="4" w:space="0" w:color="auto"/>
              <w:right w:val="single" w:sz="4" w:space="0" w:color="auto"/>
            </w:tcBorders>
            <w:hideMark/>
          </w:tcPr>
          <w:p w:rsidR="00215D23" w:rsidRDefault="00215D23">
            <w:r>
              <w:t>Praktično izobraževanje</w:t>
            </w:r>
          </w:p>
        </w:tc>
        <w:tc>
          <w:tcPr>
            <w:tcW w:w="6410" w:type="dxa"/>
            <w:tcBorders>
              <w:top w:val="single" w:sz="4" w:space="0" w:color="auto"/>
              <w:left w:val="single" w:sz="4" w:space="0" w:color="auto"/>
              <w:bottom w:val="single" w:sz="4" w:space="0" w:color="auto"/>
              <w:right w:val="single" w:sz="4" w:space="0" w:color="auto"/>
            </w:tcBorders>
            <w:hideMark/>
          </w:tcPr>
          <w:p w:rsidR="00215D23" w:rsidRDefault="00215D23" w:rsidP="00215D23">
            <w:pPr>
              <w:numPr>
                <w:ilvl w:val="0"/>
                <w:numId w:val="8"/>
              </w:numPr>
              <w:spacing w:after="0" w:line="240" w:lineRule="auto"/>
              <w:rPr>
                <w:i/>
              </w:rPr>
            </w:pPr>
            <w:r>
              <w:rPr>
                <w:i/>
              </w:rPr>
              <w:t>Predlogi:</w:t>
            </w:r>
          </w:p>
          <w:p w:rsidR="00215D23" w:rsidRDefault="00215D23" w:rsidP="00215D23">
            <w:pPr>
              <w:numPr>
                <w:ilvl w:val="0"/>
                <w:numId w:val="8"/>
              </w:numPr>
              <w:spacing w:after="0" w:line="240" w:lineRule="auto"/>
            </w:pPr>
            <w:r>
              <w:t>Kombinirane seminarske naloge:  več predmetnih področij v eni nalogi – snov iz celotnega 1. letnika (npr. »analiza bilance podjetja + predstavitev poročila«).</w:t>
            </w:r>
          </w:p>
        </w:tc>
      </w:tr>
    </w:tbl>
    <w:p w:rsidR="00215D23" w:rsidRDefault="00215D23" w:rsidP="00215D23">
      <w:r>
        <w:t>Prisotnost v aktivu __POK:</w:t>
      </w:r>
      <w:r>
        <w:tab/>
      </w:r>
      <w:r>
        <w:tab/>
        <w:t xml:space="preserve">dr. Darko </w:t>
      </w:r>
      <w:proofErr w:type="spellStart"/>
      <w:r>
        <w:t>Števančec</w:t>
      </w:r>
      <w:proofErr w:type="spellEnd"/>
      <w:r>
        <w:t xml:space="preserve"> MS</w:t>
      </w:r>
    </w:p>
    <w:p w:rsidR="00215D23" w:rsidRDefault="00215D23" w:rsidP="00215D23">
      <w:r>
        <w:t xml:space="preserve">                                                           dr. Anita Goltnik </w:t>
      </w:r>
      <w:proofErr w:type="spellStart"/>
      <w:r>
        <w:t>Urnaut</w:t>
      </w:r>
      <w:proofErr w:type="spellEnd"/>
      <w:r>
        <w:t xml:space="preserve"> SG   </w:t>
      </w:r>
    </w:p>
    <w:p w:rsidR="00215D23" w:rsidRDefault="00215D23" w:rsidP="00215D23">
      <w:r>
        <w:tab/>
      </w:r>
      <w:r>
        <w:tab/>
      </w:r>
      <w:r>
        <w:tab/>
      </w:r>
      <w:r>
        <w:tab/>
      </w:r>
      <w:r>
        <w:tab/>
        <w:t>Marjeta Nosan CE</w:t>
      </w:r>
    </w:p>
    <w:p w:rsidR="00215D23" w:rsidRDefault="00215D23" w:rsidP="00215D23">
      <w:r>
        <w:tab/>
      </w:r>
      <w:r>
        <w:tab/>
      </w:r>
      <w:r>
        <w:tab/>
      </w:r>
      <w:r>
        <w:tab/>
      </w:r>
      <w:r>
        <w:tab/>
        <w:t xml:space="preserve">Mateja </w:t>
      </w:r>
      <w:proofErr w:type="spellStart"/>
      <w:r>
        <w:t>Kapitler</w:t>
      </w:r>
      <w:proofErr w:type="spellEnd"/>
      <w:r>
        <w:t xml:space="preserve"> CE</w:t>
      </w:r>
    </w:p>
    <w:p w:rsidR="00215D23" w:rsidRDefault="00215D23" w:rsidP="00215D23">
      <w:r>
        <w:tab/>
      </w:r>
      <w:r>
        <w:tab/>
      </w:r>
      <w:r>
        <w:tab/>
      </w:r>
      <w:r>
        <w:tab/>
      </w:r>
      <w:r>
        <w:tab/>
      </w:r>
      <w:r>
        <w:tab/>
      </w:r>
      <w:r>
        <w:tab/>
      </w:r>
    </w:p>
    <w:p w:rsidR="00215D23" w:rsidRDefault="00215D23" w:rsidP="00215D23">
      <w:r>
        <w:t xml:space="preserve">Zapis pripravil: Darko </w:t>
      </w:r>
      <w:proofErr w:type="spellStart"/>
      <w:r>
        <w:t>Števančec</w:t>
      </w:r>
      <w:proofErr w:type="spellEnd"/>
    </w:p>
    <w:p w:rsidR="00215D23" w:rsidRDefault="00215D23" w:rsidP="0082673C">
      <w:pPr>
        <w:jc w:val="both"/>
        <w:rPr>
          <w:rFonts w:ascii="Times New Roman" w:hAnsi="Times New Roman" w:cs="Times New Roman"/>
          <w:sz w:val="24"/>
          <w:szCs w:val="24"/>
        </w:rPr>
      </w:pPr>
    </w:p>
    <w:sectPr w:rsidR="00215D23" w:rsidSect="007B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274"/>
    <w:multiLevelType w:val="hybridMultilevel"/>
    <w:tmpl w:val="0C08CE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825FA2"/>
    <w:multiLevelType w:val="hybridMultilevel"/>
    <w:tmpl w:val="2E887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2465619"/>
    <w:multiLevelType w:val="hybridMultilevel"/>
    <w:tmpl w:val="CCDA48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2A16217"/>
    <w:multiLevelType w:val="hybridMultilevel"/>
    <w:tmpl w:val="82F80B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A7F40A2"/>
    <w:multiLevelType w:val="hybridMultilevel"/>
    <w:tmpl w:val="CB2CE7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0F51233"/>
    <w:multiLevelType w:val="hybridMultilevel"/>
    <w:tmpl w:val="AA168D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C0A1157"/>
    <w:multiLevelType w:val="hybridMultilevel"/>
    <w:tmpl w:val="DCCC37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C7C7C3C"/>
    <w:multiLevelType w:val="hybridMultilevel"/>
    <w:tmpl w:val="CD1E87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F4"/>
    <w:rsid w:val="00064359"/>
    <w:rsid w:val="000952F7"/>
    <w:rsid w:val="00111107"/>
    <w:rsid w:val="00214E42"/>
    <w:rsid w:val="00215D23"/>
    <w:rsid w:val="00266901"/>
    <w:rsid w:val="003B3DD6"/>
    <w:rsid w:val="004853A8"/>
    <w:rsid w:val="004D6138"/>
    <w:rsid w:val="004E3740"/>
    <w:rsid w:val="004E55AD"/>
    <w:rsid w:val="005B2B55"/>
    <w:rsid w:val="00653054"/>
    <w:rsid w:val="006A2859"/>
    <w:rsid w:val="006E51CA"/>
    <w:rsid w:val="00754D48"/>
    <w:rsid w:val="00776533"/>
    <w:rsid w:val="00791F70"/>
    <w:rsid w:val="007B5612"/>
    <w:rsid w:val="0082673C"/>
    <w:rsid w:val="00886393"/>
    <w:rsid w:val="009F23F4"/>
    <w:rsid w:val="00C25C84"/>
    <w:rsid w:val="00C640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7EC3"/>
  <w15:docId w15:val="{308D47EF-90FB-4151-B958-CD34B88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561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23F4"/>
    <w:pPr>
      <w:ind w:left="720"/>
      <w:contextualSpacing/>
    </w:pPr>
  </w:style>
  <w:style w:type="paragraph" w:styleId="Brezrazmikov">
    <w:name w:val="No Spacing"/>
    <w:uiPriority w:val="1"/>
    <w:qFormat/>
    <w:rsid w:val="00886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11622">
      <w:bodyDiv w:val="1"/>
      <w:marLeft w:val="0"/>
      <w:marRight w:val="0"/>
      <w:marTop w:val="0"/>
      <w:marBottom w:val="0"/>
      <w:divBdr>
        <w:top w:val="none" w:sz="0" w:space="0" w:color="auto"/>
        <w:left w:val="none" w:sz="0" w:space="0" w:color="auto"/>
        <w:bottom w:val="none" w:sz="0" w:space="0" w:color="auto"/>
        <w:right w:val="none" w:sz="0" w:space="0" w:color="auto"/>
      </w:divBdr>
    </w:div>
    <w:div w:id="958878666">
      <w:bodyDiv w:val="1"/>
      <w:marLeft w:val="0"/>
      <w:marRight w:val="0"/>
      <w:marTop w:val="0"/>
      <w:marBottom w:val="0"/>
      <w:divBdr>
        <w:top w:val="none" w:sz="0" w:space="0" w:color="auto"/>
        <w:left w:val="none" w:sz="0" w:space="0" w:color="auto"/>
        <w:bottom w:val="none" w:sz="0" w:space="0" w:color="auto"/>
        <w:right w:val="none" w:sz="0" w:space="0" w:color="auto"/>
      </w:divBdr>
      <w:divsChild>
        <w:div w:id="1509439126">
          <w:marLeft w:val="792"/>
          <w:marRight w:val="0"/>
          <w:marTop w:val="280"/>
          <w:marBottom w:val="0"/>
          <w:divBdr>
            <w:top w:val="none" w:sz="0" w:space="0" w:color="auto"/>
            <w:left w:val="none" w:sz="0" w:space="0" w:color="auto"/>
            <w:bottom w:val="none" w:sz="0" w:space="0" w:color="auto"/>
            <w:right w:val="none" w:sz="0" w:space="0" w:color="auto"/>
          </w:divBdr>
        </w:div>
        <w:div w:id="543176339">
          <w:marLeft w:val="792"/>
          <w:marRight w:val="0"/>
          <w:marTop w:val="280"/>
          <w:marBottom w:val="0"/>
          <w:divBdr>
            <w:top w:val="none" w:sz="0" w:space="0" w:color="auto"/>
            <w:left w:val="none" w:sz="0" w:space="0" w:color="auto"/>
            <w:bottom w:val="none" w:sz="0" w:space="0" w:color="auto"/>
            <w:right w:val="none" w:sz="0" w:space="0" w:color="auto"/>
          </w:divBdr>
        </w:div>
        <w:div w:id="225647064">
          <w:marLeft w:val="792"/>
          <w:marRight w:val="0"/>
          <w:marTop w:val="280"/>
          <w:marBottom w:val="0"/>
          <w:divBdr>
            <w:top w:val="none" w:sz="0" w:space="0" w:color="auto"/>
            <w:left w:val="none" w:sz="0" w:space="0" w:color="auto"/>
            <w:bottom w:val="none" w:sz="0" w:space="0" w:color="auto"/>
            <w:right w:val="none" w:sz="0" w:space="0" w:color="auto"/>
          </w:divBdr>
        </w:div>
        <w:div w:id="877351084">
          <w:marLeft w:val="792"/>
          <w:marRight w:val="0"/>
          <w:marTop w:val="280"/>
          <w:marBottom w:val="0"/>
          <w:divBdr>
            <w:top w:val="none" w:sz="0" w:space="0" w:color="auto"/>
            <w:left w:val="none" w:sz="0" w:space="0" w:color="auto"/>
            <w:bottom w:val="none" w:sz="0" w:space="0" w:color="auto"/>
            <w:right w:val="none" w:sz="0" w:space="0" w:color="auto"/>
          </w:divBdr>
        </w:div>
        <w:div w:id="770901356">
          <w:marLeft w:val="792"/>
          <w:marRight w:val="0"/>
          <w:marTop w:val="280"/>
          <w:marBottom w:val="0"/>
          <w:divBdr>
            <w:top w:val="none" w:sz="0" w:space="0" w:color="auto"/>
            <w:left w:val="none" w:sz="0" w:space="0" w:color="auto"/>
            <w:bottom w:val="none" w:sz="0" w:space="0" w:color="auto"/>
            <w:right w:val="none" w:sz="0" w:space="0" w:color="auto"/>
          </w:divBdr>
        </w:div>
        <w:div w:id="195388046">
          <w:marLeft w:val="792"/>
          <w:marRight w:val="0"/>
          <w:marTop w:val="280"/>
          <w:marBottom w:val="0"/>
          <w:divBdr>
            <w:top w:val="none" w:sz="0" w:space="0" w:color="auto"/>
            <w:left w:val="none" w:sz="0" w:space="0" w:color="auto"/>
            <w:bottom w:val="none" w:sz="0" w:space="0" w:color="auto"/>
            <w:right w:val="none" w:sz="0" w:space="0" w:color="auto"/>
          </w:divBdr>
        </w:div>
        <w:div w:id="1135753534">
          <w:marLeft w:val="792"/>
          <w:marRight w:val="0"/>
          <w:marTop w:val="280"/>
          <w:marBottom w:val="0"/>
          <w:divBdr>
            <w:top w:val="none" w:sz="0" w:space="0" w:color="auto"/>
            <w:left w:val="none" w:sz="0" w:space="0" w:color="auto"/>
            <w:bottom w:val="none" w:sz="0" w:space="0" w:color="auto"/>
            <w:right w:val="none" w:sz="0" w:space="0" w:color="auto"/>
          </w:divBdr>
        </w:div>
        <w:div w:id="957300371">
          <w:marLeft w:val="792"/>
          <w:marRight w:val="0"/>
          <w:marTop w:val="280"/>
          <w:marBottom w:val="0"/>
          <w:divBdr>
            <w:top w:val="none" w:sz="0" w:space="0" w:color="auto"/>
            <w:left w:val="none" w:sz="0" w:space="0" w:color="auto"/>
            <w:bottom w:val="none" w:sz="0" w:space="0" w:color="auto"/>
            <w:right w:val="none" w:sz="0" w:space="0" w:color="auto"/>
          </w:divBdr>
        </w:div>
        <w:div w:id="8724110">
          <w:marLeft w:val="792"/>
          <w:marRight w:val="0"/>
          <w:marTop w:val="280"/>
          <w:marBottom w:val="0"/>
          <w:divBdr>
            <w:top w:val="none" w:sz="0" w:space="0" w:color="auto"/>
            <w:left w:val="none" w:sz="0" w:space="0" w:color="auto"/>
            <w:bottom w:val="none" w:sz="0" w:space="0" w:color="auto"/>
            <w:right w:val="none" w:sz="0" w:space="0" w:color="auto"/>
          </w:divBdr>
        </w:div>
      </w:divsChild>
    </w:div>
    <w:div w:id="1869679277">
      <w:bodyDiv w:val="1"/>
      <w:marLeft w:val="0"/>
      <w:marRight w:val="0"/>
      <w:marTop w:val="0"/>
      <w:marBottom w:val="0"/>
      <w:divBdr>
        <w:top w:val="none" w:sz="0" w:space="0" w:color="auto"/>
        <w:left w:val="none" w:sz="0" w:space="0" w:color="auto"/>
        <w:bottom w:val="none" w:sz="0" w:space="0" w:color="auto"/>
        <w:right w:val="none" w:sz="0" w:space="0" w:color="auto"/>
      </w:divBdr>
    </w:div>
    <w:div w:id="20082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2204</Words>
  <Characters>12569</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EŠ</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Joze</cp:lastModifiedBy>
  <cp:revision>3</cp:revision>
  <dcterms:created xsi:type="dcterms:W3CDTF">2018-03-19T09:26:00Z</dcterms:created>
  <dcterms:modified xsi:type="dcterms:W3CDTF">2018-03-19T09:35:00Z</dcterms:modified>
</cp:coreProperties>
</file>